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571" w:type="dxa"/>
        <w:jc w:val="center"/>
        <w:tblLayout w:type="autofit"/>
        <w:tblCellMar>
          <w:top w:w="0" w:type="dxa"/>
          <w:left w:w="0" w:type="dxa"/>
          <w:bottom w:w="0" w:type="dxa"/>
          <w:right w:w="0" w:type="dxa"/>
        </w:tblCellMar>
      </w:tblPr>
      <w:tblGrid>
        <w:gridCol w:w="3721"/>
        <w:gridCol w:w="5850"/>
      </w:tblGrid>
      <w:tr w14:paraId="37411882">
        <w:tblPrEx>
          <w:tblCellMar>
            <w:top w:w="0" w:type="dxa"/>
            <w:left w:w="0" w:type="dxa"/>
            <w:bottom w:w="0" w:type="dxa"/>
            <w:right w:w="0" w:type="dxa"/>
          </w:tblCellMar>
        </w:tblPrEx>
        <w:trPr>
          <w:jc w:val="center"/>
        </w:trPr>
        <w:tc>
          <w:tcPr>
            <w:tcW w:w="3721" w:type="dxa"/>
            <w:tcBorders>
              <w:top w:val="nil"/>
              <w:left w:val="nil"/>
              <w:bottom w:val="nil"/>
              <w:right w:val="nil"/>
            </w:tcBorders>
            <w:tcMar>
              <w:top w:w="0" w:type="dxa"/>
              <w:left w:w="108" w:type="dxa"/>
              <w:bottom w:w="0" w:type="dxa"/>
              <w:right w:w="108" w:type="dxa"/>
            </w:tcMar>
          </w:tcPr>
          <w:p w14:paraId="3DCE4185">
            <w:pPr>
              <w:jc w:val="center"/>
              <w:rPr>
                <w:color w:val="000000" w:themeColor="text1"/>
                <w:sz w:val="26"/>
                <w:szCs w:val="26"/>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572135</wp:posOffset>
                      </wp:positionH>
                      <wp:positionV relativeFrom="paragraph">
                        <wp:posOffset>387350</wp:posOffset>
                      </wp:positionV>
                      <wp:extent cx="1005840" cy="0"/>
                      <wp:effectExtent l="0" t="0" r="0" b="0"/>
                      <wp:wrapNone/>
                      <wp:docPr id="36" name="Line 2"/>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45.05pt;margin-top:30.5pt;height:0pt;width:79.2pt;z-index:251660288;mso-width-relative:page;mso-height-relative:page;" filled="f" stroked="t" coordsize="21600,21600" o:gfxdata="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Lp4L01QAAAAgBAAAPAAAAAAAAAAEAIAAAACIAAABkcnMvZG93&#10;bnJldi54bWxQSwECFAAUAAAACACHTuJAcM9i2MoBAACgAwAADgAAAAAAAAABACAAAAAkAQAAZHJz&#10;L2Uyb0RvYy54bWxQSwUGAAAAAAYABgBZAQAAYAUAAAAA&#10;">
                      <v:fill on="f" focussize="0,0"/>
                      <v:stroke color="#000000" joinstyle="round"/>
                      <v:imagedata o:title=""/>
                      <o:lock v:ext="edit" aspectratio="f"/>
                    </v:line>
                  </w:pict>
                </mc:Fallback>
              </mc:AlternateContent>
            </w:r>
            <w:r>
              <w:rPr>
                <w:b/>
                <w:bCs/>
                <w:color w:val="000000" w:themeColor="text1"/>
                <w:spacing w:val="-1"/>
                <w:sz w:val="26"/>
                <w:szCs w:val="26"/>
                <w14:textFill>
                  <w14:solidFill>
                    <w14:schemeClr w14:val="tx1"/>
                  </w14:solidFill>
                </w14:textFill>
              </w:rPr>
              <w:t>Ủ</w:t>
            </w:r>
            <w:r>
              <w:rPr>
                <w:b/>
                <w:bCs/>
                <w:color w:val="000000" w:themeColor="text1"/>
                <w:sz w:val="26"/>
                <w:szCs w:val="26"/>
                <w14:textFill>
                  <w14:solidFill>
                    <w14:schemeClr w14:val="tx1"/>
                  </w14:solidFill>
                </w14:textFill>
              </w:rPr>
              <w:t>Y</w:t>
            </w:r>
            <w:r>
              <w:rPr>
                <w:b/>
                <w:bCs/>
                <w:color w:val="000000" w:themeColor="text1"/>
                <w:spacing w:val="-1"/>
                <w:sz w:val="26"/>
                <w:szCs w:val="26"/>
                <w14:textFill>
                  <w14:solidFill>
                    <w14:schemeClr w14:val="tx1"/>
                  </w14:solidFill>
                </w14:textFill>
              </w:rPr>
              <w:t xml:space="preserve"> </w:t>
            </w:r>
            <w:r>
              <w:rPr>
                <w:b/>
                <w:bCs/>
                <w:color w:val="000000" w:themeColor="text1"/>
                <w:sz w:val="26"/>
                <w:szCs w:val="26"/>
                <w14:textFill>
                  <w14:solidFill>
                    <w14:schemeClr w14:val="tx1"/>
                  </w14:solidFill>
                </w14:textFill>
              </w:rPr>
              <w:t>B</w:t>
            </w:r>
            <w:r>
              <w:rPr>
                <w:b/>
                <w:bCs/>
                <w:color w:val="000000" w:themeColor="text1"/>
                <w:spacing w:val="-2"/>
                <w:sz w:val="26"/>
                <w:szCs w:val="26"/>
                <w14:textFill>
                  <w14:solidFill>
                    <w14:schemeClr w14:val="tx1"/>
                  </w14:solidFill>
                </w14:textFill>
              </w:rPr>
              <w:t>A</w:t>
            </w:r>
            <w:r>
              <w:rPr>
                <w:b/>
                <w:bCs/>
                <w:color w:val="000000" w:themeColor="text1"/>
                <w:sz w:val="26"/>
                <w:szCs w:val="26"/>
                <w14:textFill>
                  <w14:solidFill>
                    <w14:schemeClr w14:val="tx1"/>
                  </w14:solidFill>
                </w14:textFill>
              </w:rPr>
              <w:t>N</w:t>
            </w:r>
            <w:r>
              <w:rPr>
                <w:b/>
                <w:bCs/>
                <w:color w:val="000000" w:themeColor="text1"/>
                <w:spacing w:val="-1"/>
                <w:sz w:val="26"/>
                <w:szCs w:val="26"/>
                <w14:textFill>
                  <w14:solidFill>
                    <w14:schemeClr w14:val="tx1"/>
                  </w14:solidFill>
                </w14:textFill>
              </w:rPr>
              <w:t xml:space="preserve"> </w:t>
            </w:r>
            <w:r>
              <w:rPr>
                <w:b/>
                <w:bCs/>
                <w:color w:val="000000" w:themeColor="text1"/>
                <w:spacing w:val="-2"/>
                <w:sz w:val="26"/>
                <w:szCs w:val="26"/>
                <w14:textFill>
                  <w14:solidFill>
                    <w14:schemeClr w14:val="tx1"/>
                  </w14:solidFill>
                </w14:textFill>
              </w:rPr>
              <w:t>N</w:t>
            </w:r>
            <w:r>
              <w:rPr>
                <w:b/>
                <w:bCs/>
                <w:color w:val="000000" w:themeColor="text1"/>
                <w:sz w:val="26"/>
                <w:szCs w:val="26"/>
                <w14:textFill>
                  <w14:solidFill>
                    <w14:schemeClr w14:val="tx1"/>
                  </w14:solidFill>
                </w14:textFill>
              </w:rPr>
              <w:t>H</w:t>
            </w:r>
            <w:r>
              <w:rPr>
                <w:b/>
                <w:bCs/>
                <w:color w:val="000000" w:themeColor="text1"/>
                <w:spacing w:val="1"/>
                <w:sz w:val="26"/>
                <w:szCs w:val="26"/>
                <w14:textFill>
                  <w14:solidFill>
                    <w14:schemeClr w14:val="tx1"/>
                  </w14:solidFill>
                </w14:textFill>
              </w:rPr>
              <w:t>Â</w:t>
            </w:r>
            <w:r>
              <w:rPr>
                <w:b/>
                <w:bCs/>
                <w:color w:val="000000" w:themeColor="text1"/>
                <w:sz w:val="26"/>
                <w:szCs w:val="26"/>
                <w14:textFill>
                  <w14:solidFill>
                    <w14:schemeClr w14:val="tx1"/>
                  </w14:solidFill>
                </w14:textFill>
              </w:rPr>
              <w:t>N</w:t>
            </w:r>
            <w:r>
              <w:rPr>
                <w:b/>
                <w:bCs/>
                <w:color w:val="000000" w:themeColor="text1"/>
                <w:spacing w:val="-1"/>
                <w:sz w:val="26"/>
                <w:szCs w:val="26"/>
                <w14:textFill>
                  <w14:solidFill>
                    <w14:schemeClr w14:val="tx1"/>
                  </w14:solidFill>
                </w14:textFill>
              </w:rPr>
              <w:t xml:space="preserve"> </w:t>
            </w:r>
            <w:r>
              <w:rPr>
                <w:b/>
                <w:bCs/>
                <w:color w:val="000000" w:themeColor="text1"/>
                <w:spacing w:val="-2"/>
                <w:sz w:val="26"/>
                <w:szCs w:val="26"/>
                <w14:textFill>
                  <w14:solidFill>
                    <w14:schemeClr w14:val="tx1"/>
                  </w14:solidFill>
                </w14:textFill>
              </w:rPr>
              <w:t>D</w:t>
            </w:r>
            <w:r>
              <w:rPr>
                <w:b/>
                <w:bCs/>
                <w:color w:val="000000" w:themeColor="text1"/>
                <w:spacing w:val="1"/>
                <w:sz w:val="26"/>
                <w:szCs w:val="26"/>
                <w14:textFill>
                  <w14:solidFill>
                    <w14:schemeClr w14:val="tx1"/>
                  </w14:solidFill>
                </w14:textFill>
              </w:rPr>
              <w:t>Â</w:t>
            </w:r>
            <w:r>
              <w:rPr>
                <w:b/>
                <w:bCs/>
                <w:color w:val="000000" w:themeColor="text1"/>
                <w:sz w:val="26"/>
                <w:szCs w:val="26"/>
                <w14:textFill>
                  <w14:solidFill>
                    <w14:schemeClr w14:val="tx1"/>
                  </w14:solidFill>
                </w14:textFill>
              </w:rPr>
              <w:t>N</w:t>
            </w:r>
            <w:r>
              <w:rPr>
                <w:color w:val="000000" w:themeColor="text1"/>
                <w:spacing w:val="-1"/>
                <w:sz w:val="26"/>
                <w:szCs w:val="26"/>
                <w14:textFill>
                  <w14:solidFill>
                    <w14:schemeClr w14:val="tx1"/>
                  </w14:solidFill>
                </w14:textFill>
              </w:rPr>
              <w:br w:type="textWrapping"/>
            </w:r>
            <w:r>
              <w:rPr>
                <w:b/>
                <w:bCs/>
                <w:color w:val="000000" w:themeColor="text1"/>
                <w:sz w:val="26"/>
                <w:szCs w:val="26"/>
                <w:lang w:val="nl-NL"/>
                <w14:textFill>
                  <w14:solidFill>
                    <w14:schemeClr w14:val="tx1"/>
                  </w14:solidFill>
                </w14:textFill>
              </w:rPr>
              <w:t>PHƯỜNG NAM HỒNG LĨNH</w:t>
            </w:r>
            <w:r>
              <w:rPr>
                <w:color w:val="000000" w:themeColor="text1"/>
                <w:sz w:val="26"/>
                <w:szCs w:val="26"/>
                <w:lang w:val="nl-NL"/>
                <w14:textFill>
                  <w14:solidFill>
                    <w14:schemeClr w14:val="tx1"/>
                  </w14:solidFill>
                </w14:textFill>
              </w:rPr>
              <w:t xml:space="preserve">                                  </w:t>
            </w:r>
          </w:p>
        </w:tc>
        <w:tc>
          <w:tcPr>
            <w:tcW w:w="5850" w:type="dxa"/>
            <w:tcBorders>
              <w:top w:val="nil"/>
              <w:left w:val="nil"/>
              <w:bottom w:val="nil"/>
              <w:right w:val="nil"/>
            </w:tcBorders>
            <w:tcMar>
              <w:top w:w="0" w:type="dxa"/>
              <w:left w:w="108" w:type="dxa"/>
              <w:bottom w:w="0" w:type="dxa"/>
              <w:right w:w="108" w:type="dxa"/>
            </w:tcMar>
          </w:tcPr>
          <w:p w14:paraId="2CB47365">
            <w:pPr>
              <w:jc w:val="center"/>
              <w:rPr>
                <w:b/>
                <w:bCs/>
                <w:color w:val="000000" w:themeColor="text1"/>
                <w14:textFill>
                  <w14:solidFill>
                    <w14:schemeClr w14:val="tx1"/>
                  </w14:solidFill>
                </w14:textFill>
              </w:rPr>
            </w:pPr>
            <w:r>
              <w:rPr>
                <w:b/>
                <w:bCs/>
                <w:color w:val="000000" w:themeColor="text1"/>
                <w:sz w:val="26"/>
                <w:szCs w:val="26"/>
                <w14:textFill>
                  <w14:solidFill>
                    <w14:schemeClr w14:val="tx1"/>
                  </w14:solidFill>
                </w14:textFill>
              </w:rPr>
              <w:t>CỘNG HÒA XÃ HỘI CHỦ NGHĨA VIỆT NAM</w:t>
            </w:r>
            <w:r>
              <w:rPr>
                <w:b/>
                <w:bCs/>
                <w:color w:val="000000" w:themeColor="text1"/>
                <w14:textFill>
                  <w14:solidFill>
                    <w14:schemeClr w14:val="tx1"/>
                  </w14:solidFill>
                </w14:textFill>
              </w:rPr>
              <w:t xml:space="preserve"> </w:t>
            </w:r>
          </w:p>
          <w:p w14:paraId="21BBA8A2">
            <w:pPr>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713105</wp:posOffset>
                      </wp:positionH>
                      <wp:positionV relativeFrom="paragraph">
                        <wp:posOffset>222250</wp:posOffset>
                      </wp:positionV>
                      <wp:extent cx="2087880" cy="0"/>
                      <wp:effectExtent l="0" t="0" r="26670" b="19050"/>
                      <wp:wrapNone/>
                      <wp:docPr id="35" name="Line 3"/>
                      <wp:cNvGraphicFramePr/>
                      <a:graphic xmlns:a="http://schemas.openxmlformats.org/drawingml/2006/main">
                        <a:graphicData uri="http://schemas.microsoft.com/office/word/2010/wordprocessingShape">
                          <wps:wsp>
                            <wps:cNvCnPr>
                              <a:cxnSpLocks noChangeShapeType="1"/>
                            </wps:cNvCnPr>
                            <wps:spPr bwMode="auto">
                              <a:xfrm>
                                <a:off x="0" y="0"/>
                                <a:ext cx="2087880" cy="0"/>
                              </a:xfrm>
                              <a:prstGeom prst="line">
                                <a:avLst/>
                              </a:prstGeom>
                              <a:noFill/>
                              <a:ln w="9525">
                                <a:solidFill>
                                  <a:srgbClr val="000000"/>
                                </a:solidFill>
                                <a:round/>
                              </a:ln>
                            </wps:spPr>
                            <wps:bodyPr/>
                          </wps:wsp>
                        </a:graphicData>
                      </a:graphic>
                    </wp:anchor>
                  </w:drawing>
                </mc:Choice>
                <mc:Fallback>
                  <w:pict>
                    <v:line id="Line 3" o:spid="_x0000_s1026" o:spt="20" style="position:absolute;left:0pt;margin-left:56.15pt;margin-top:17.5pt;height:0pt;width:164.4pt;z-index:251661312;mso-width-relative:page;mso-height-relative:page;" filled="f" stroked="t" coordsize="21600,21600" o:gfxdata="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wDsYTWAAAACQEAAA8AAAAAAAAAAQAgAAAAIgAAAGRycy9k&#10;b3ducmV2LnhtbFBLAQIUABQAAAAIAIdO4kCHllgfywEAAKADAAAOAAAAAAAAAAEAIAAAACUBAABk&#10;cnMvZTJvRG9jLnhtbFBLBQYAAAAABgAGAFkBAABiBQAAAAA=&#10;">
                      <v:fill on="f" focussize="0,0"/>
                      <v:stroke color="#000000" joinstyle="round"/>
                      <v:imagedata o:title=""/>
                      <o:lock v:ext="edit" aspectratio="f"/>
                    </v:line>
                  </w:pict>
                </mc:Fallback>
              </mc:AlternateContent>
            </w:r>
            <w:r>
              <w:rPr>
                <w:b/>
                <w:bCs/>
                <w:color w:val="000000" w:themeColor="text1"/>
                <w:sz w:val="28"/>
                <w:szCs w:val="28"/>
                <w14:textFill>
                  <w14:solidFill>
                    <w14:schemeClr w14:val="tx1"/>
                  </w14:solidFill>
                </w14:textFill>
              </w:rPr>
              <w:t xml:space="preserve">               Độc lập - Tự do - Hạnh phúc</w:t>
            </w:r>
            <w:r>
              <w:rPr>
                <w:b/>
                <w:bCs/>
                <w:color w:val="000000" w:themeColor="text1"/>
                <w14:textFill>
                  <w14:solidFill>
                    <w14:schemeClr w14:val="tx1"/>
                  </w14:solidFill>
                </w14:textFill>
              </w:rPr>
              <w:br w:type="textWrapping"/>
            </w:r>
          </w:p>
        </w:tc>
      </w:tr>
      <w:tr w14:paraId="5FBCA342">
        <w:tblPrEx>
          <w:tblCellMar>
            <w:top w:w="0" w:type="dxa"/>
            <w:left w:w="0" w:type="dxa"/>
            <w:bottom w:w="0" w:type="dxa"/>
            <w:right w:w="0" w:type="dxa"/>
          </w:tblCellMar>
        </w:tblPrEx>
        <w:trPr>
          <w:jc w:val="center"/>
        </w:trPr>
        <w:tc>
          <w:tcPr>
            <w:tcW w:w="3721" w:type="dxa"/>
            <w:tcBorders>
              <w:top w:val="nil"/>
              <w:left w:val="nil"/>
              <w:bottom w:val="nil"/>
              <w:right w:val="nil"/>
            </w:tcBorders>
            <w:tcMar>
              <w:top w:w="0" w:type="dxa"/>
              <w:left w:w="108" w:type="dxa"/>
              <w:bottom w:w="0" w:type="dxa"/>
              <w:right w:w="108" w:type="dxa"/>
            </w:tcMar>
          </w:tcPr>
          <w:p w14:paraId="5755FBE8">
            <w:pPr>
              <w:spacing w:before="120"/>
              <w:jc w:val="center"/>
              <w:rPr>
                <w:color w:val="000000" w:themeColor="text1"/>
                <w:sz w:val="28"/>
                <w:szCs w:val="28"/>
                <w14:textFill>
                  <w14:solidFill>
                    <w14:schemeClr w14:val="tx1"/>
                  </w14:solidFill>
                </w14:textFill>
              </w:rPr>
            </w:pPr>
            <w:r>
              <w:rPr>
                <w:color w:val="000000" w:themeColor="text1"/>
                <w:sz w:val="28"/>
                <w:szCs w:val="28"/>
                <w:lang w:val="nl-NL"/>
                <w14:textFill>
                  <w14:solidFill>
                    <w14:schemeClr w14:val="tx1"/>
                  </w14:solidFill>
                </w14:textFill>
              </w:rPr>
              <w:t>Số:       /TB-UBND</w:t>
            </w:r>
          </w:p>
        </w:tc>
        <w:tc>
          <w:tcPr>
            <w:tcW w:w="5850" w:type="dxa"/>
            <w:tcBorders>
              <w:top w:val="nil"/>
              <w:left w:val="nil"/>
              <w:bottom w:val="nil"/>
              <w:right w:val="nil"/>
            </w:tcBorders>
            <w:tcMar>
              <w:top w:w="0" w:type="dxa"/>
              <w:left w:w="108" w:type="dxa"/>
              <w:bottom w:w="0" w:type="dxa"/>
              <w:right w:w="108" w:type="dxa"/>
            </w:tcMar>
          </w:tcPr>
          <w:p w14:paraId="18ADD477">
            <w:pPr>
              <w:spacing w:before="120"/>
              <w:rPr>
                <w:color w:val="000000" w:themeColor="text1"/>
                <w:sz w:val="28"/>
                <w:szCs w:val="28"/>
                <w14:textFill>
                  <w14:solidFill>
                    <w14:schemeClr w14:val="tx1"/>
                  </w14:solidFill>
                </w14:textFill>
              </w:rPr>
            </w:pPr>
            <w:r>
              <w:rPr>
                <w:i/>
                <w:iCs/>
                <w:color w:val="000000" w:themeColor="text1"/>
                <w:sz w:val="28"/>
                <w:szCs w:val="28"/>
                <w14:textFill>
                  <w14:solidFill>
                    <w14:schemeClr w14:val="tx1"/>
                  </w14:solidFill>
                </w14:textFill>
              </w:rPr>
              <w:t xml:space="preserve">       Nam Hồng Lĩnh, ngày        tháng 9 năm 2026 </w:t>
            </w:r>
          </w:p>
        </w:tc>
      </w:tr>
    </w:tbl>
    <w:p w14:paraId="62D0067F">
      <w:pPr>
        <w:rPr>
          <w:i/>
          <w:color w:val="000000" w:themeColor="text1"/>
          <w:sz w:val="2"/>
          <w:szCs w:val="26"/>
          <w14:textFill>
            <w14:solidFill>
              <w14:schemeClr w14:val="tx1"/>
            </w14:solidFill>
          </w14:textFill>
        </w:rPr>
      </w:pPr>
    </w:p>
    <w:p w14:paraId="61962913">
      <w:pPr>
        <w:rPr>
          <w:i/>
          <w:color w:val="000000" w:themeColor="text1"/>
          <w:sz w:val="2"/>
          <w:szCs w:val="26"/>
          <w14:textFill>
            <w14:solidFill>
              <w14:schemeClr w14:val="tx1"/>
            </w14:solidFill>
          </w14:textFill>
        </w:rPr>
      </w:pPr>
    </w:p>
    <w:p w14:paraId="58B2B02B">
      <w:pPr>
        <w:tabs>
          <w:tab w:val="center" w:pos="4819"/>
        </w:tabs>
        <w:jc w:val="center"/>
        <w:rPr>
          <w:b/>
          <w:color w:val="000000" w:themeColor="text1"/>
          <w:sz w:val="26"/>
          <w:szCs w:val="34"/>
          <w14:textFill>
            <w14:solidFill>
              <w14:schemeClr w14:val="tx1"/>
            </w14:solidFill>
          </w14:textFill>
        </w:rPr>
      </w:pPr>
    </w:p>
    <w:p w14:paraId="5A1D3B89">
      <w:pPr>
        <w:tabs>
          <w:tab w:val="center" w:pos="4819"/>
        </w:tabs>
        <w:jc w:val="center"/>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THÔNG BÁO</w:t>
      </w:r>
    </w:p>
    <w:p w14:paraId="70862BBF">
      <w:pPr>
        <w:tabs>
          <w:tab w:val="left" w:pos="1701"/>
        </w:tabs>
        <w:jc w:val="center"/>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 xml:space="preserve">Về việc công bố công khai cho thuê đất đối với 01 khu đất, thửa đất cho thuê trong thời hạn không quá 05 </w:t>
      </w:r>
      <w:r>
        <w:rPr>
          <w:b/>
          <w:i/>
          <w:iCs/>
          <w:color w:val="000000" w:themeColor="text1"/>
          <w:sz w:val="28"/>
          <w:szCs w:val="28"/>
          <w14:textFill>
            <w14:solidFill>
              <w14:schemeClr w14:val="tx1"/>
            </w14:solidFill>
          </w14:textFill>
        </w:rPr>
        <w:t>(năm)</w:t>
      </w:r>
      <w:r>
        <w:rPr>
          <w:b/>
          <w:color w:val="000000" w:themeColor="text1"/>
          <w:sz w:val="28"/>
          <w:szCs w:val="28"/>
          <w14:textFill>
            <w14:solidFill>
              <w14:schemeClr w14:val="tx1"/>
            </w14:solidFill>
          </w14:textFill>
        </w:rPr>
        <w:t xml:space="preserve"> năm trên địa bàn phường </w:t>
      </w:r>
    </w:p>
    <w:p w14:paraId="44FEC46A">
      <w:pPr>
        <w:tabs>
          <w:tab w:val="left" w:pos="1701"/>
        </w:tabs>
        <w:jc w:val="center"/>
        <w:rPr>
          <w:b/>
          <w:color w:val="000000" w:themeColor="text1"/>
          <w:sz w:val="34"/>
          <w:szCs w:val="34"/>
          <w14:textFill>
            <w14:solidFill>
              <w14:schemeClr w14:val="tx1"/>
            </w14:solidFill>
          </w14:textFill>
        </w:rPr>
      </w:pPr>
      <w:r>
        <w:rPr>
          <w:b/>
          <w:i/>
          <w:iCs/>
          <w:color w:val="000000" w:themeColor="text1"/>
          <w:sz w:val="28"/>
          <w:szCs w:val="28"/>
          <w14:textFill>
            <w14:solidFill>
              <w14:schemeClr w14:val="tx1"/>
            </w14:solidFill>
          </w14:textFill>
        </w:rPr>
        <w:t>(Thông báo lần 02)</w:t>
      </w:r>
    </w:p>
    <w:p w14:paraId="7CC1E51B">
      <w:pPr>
        <w:jc w:val="center"/>
        <w:rPr>
          <w:b/>
          <w:color w:val="000000" w:themeColor="text1"/>
          <w:sz w:val="28"/>
          <w:szCs w:val="28"/>
          <w14:textFill>
            <w14:solidFill>
              <w14:schemeClr w14:val="tx1"/>
            </w14:solidFill>
          </w14:textFill>
        </w:rPr>
      </w:pPr>
      <w:r>
        <w:rPr>
          <w:color w:val="000000" w:themeColor="text1"/>
          <w:sz w:val="30"/>
          <w:szCs w:val="30"/>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2001520</wp:posOffset>
                </wp:positionH>
                <wp:positionV relativeFrom="paragraph">
                  <wp:posOffset>43815</wp:posOffset>
                </wp:positionV>
                <wp:extent cx="1764030" cy="0"/>
                <wp:effectExtent l="0" t="0" r="0" b="0"/>
                <wp:wrapNone/>
                <wp:docPr id="1" name="Line 4"/>
                <wp:cNvGraphicFramePr/>
                <a:graphic xmlns:a="http://schemas.openxmlformats.org/drawingml/2006/main">
                  <a:graphicData uri="http://schemas.microsoft.com/office/word/2010/wordprocessingShape">
                    <wps:wsp>
                      <wps:cNvCnPr>
                        <a:cxnSpLocks noChangeShapeType="1"/>
                      </wps:cNvCnPr>
                      <wps:spPr bwMode="auto">
                        <a:xfrm>
                          <a:off x="0" y="0"/>
                          <a:ext cx="1764030" cy="0"/>
                        </a:xfrm>
                        <a:prstGeom prst="line">
                          <a:avLst/>
                        </a:prstGeom>
                        <a:noFill/>
                        <a:ln w="9525">
                          <a:solidFill>
                            <a:srgbClr val="000000"/>
                          </a:solidFill>
                          <a:round/>
                        </a:ln>
                      </wps:spPr>
                      <wps:bodyPr/>
                    </wps:wsp>
                  </a:graphicData>
                </a:graphic>
              </wp:anchor>
            </w:drawing>
          </mc:Choice>
          <mc:Fallback>
            <w:pict>
              <v:line id="Line 4" o:spid="_x0000_s1026" o:spt="20" style="position:absolute;left:0pt;margin-left:157.6pt;margin-top:3.45pt;height:0pt;width:138.9pt;z-index:251659264;mso-width-relative:page;mso-height-relative:page;" filled="f" stroked="t" coordsize="21600,21600" o:gfxdata="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S16B/VAAAABwEAAA8AAAAAAAAAAQAgAAAAIgAAAGRycy9kb3du&#10;cmV2LnhtbFBLAQIUABQAAAAIAIdO4kCxCYp5yQEAAJ8DAAAOAAAAAAAAAAEAIAAAACQBAABkcnMv&#10;ZTJvRG9jLnhtbFBLBQYAAAAABgAGAFkBAABfBQAAAAA=&#10;">
                <v:fill on="f" focussize="0,0"/>
                <v:stroke color="#000000" joinstyle="round"/>
                <v:imagedata o:title=""/>
                <o:lock v:ext="edit" aspectratio="f"/>
              </v:line>
            </w:pict>
          </mc:Fallback>
        </mc:AlternateContent>
      </w:r>
    </w:p>
    <w:p w14:paraId="718A311B">
      <w:pPr>
        <w:spacing w:before="120" w:after="120"/>
        <w:ind w:firstLine="720"/>
        <w:jc w:val="both"/>
        <w:rPr>
          <w:iCs/>
          <w:color w:val="000000"/>
          <w:spacing w:val="-2"/>
          <w:sz w:val="28"/>
          <w:szCs w:val="28"/>
        </w:rPr>
      </w:pPr>
      <w:r>
        <w:rPr>
          <w:iCs/>
          <w:color w:val="000000"/>
          <w:spacing w:val="-2"/>
          <w:sz w:val="28"/>
          <w:szCs w:val="28"/>
        </w:rPr>
        <w:t>Căn cứ Luật Đất đai ngày 18/01/2024; Luật sửa đổi, bổ sung một số điều của Luật Đất đai, Luật Nhà ở, Luật Kinh doanh bất động sản và Luật Các tổ chức tín dụng ngày 29/6/2024;</w:t>
      </w:r>
    </w:p>
    <w:p w14:paraId="3F58DB76">
      <w:pPr>
        <w:spacing w:before="120" w:after="120"/>
        <w:ind w:firstLine="720"/>
        <w:jc w:val="both"/>
        <w:rPr>
          <w:iCs/>
          <w:sz w:val="28"/>
          <w:szCs w:val="28"/>
        </w:rPr>
      </w:pPr>
      <w:r>
        <w:rPr>
          <w:iCs/>
          <w:color w:val="000000" w:themeColor="text1"/>
          <w:sz w:val="28"/>
          <w:szCs w:val="28"/>
          <w14:textFill>
            <w14:solidFill>
              <w14:schemeClr w14:val="tx1"/>
            </w14:solidFill>
          </w14:textFill>
        </w:rPr>
        <w:t xml:space="preserve">Căn cứ các Quyết định của UBND tỉnh Hà Tĩnh: </w:t>
      </w:r>
      <w:r>
        <w:rPr>
          <w:sz w:val="28"/>
          <w:szCs w:val="28"/>
        </w:rPr>
        <w:t xml:space="preserve">số 26/2025/QĐ-UBND ngày 09/04/2025 ban hành quy định trình tự, thủ tục cho thuê quỹ đất ngắn hạn trên địa bàn tỉnh Hà Tĩnh; </w:t>
      </w:r>
      <w:r>
        <w:rPr>
          <w:iCs/>
          <w:color w:val="000000" w:themeColor="text1"/>
          <w:sz w:val="28"/>
          <w:szCs w:val="28"/>
          <w14:textFill>
            <w14:solidFill>
              <w14:schemeClr w14:val="tx1"/>
            </w14:solidFill>
          </w14:textFill>
        </w:rPr>
        <w:t>số 28/QĐ-UBND ngày 24/04/2026 về Quy định chi tiết một số điều tại Nghị quyết số 254/2025/QH15 của Quốc hội, Nghị định số 49/2026/NĐ-CP ngày 31/01/2026 của Chính phủ và sửa đổi, bổ sung một số Điều tại các Quyết định của UBND tỉnh Hà Tĩnh;</w:t>
      </w:r>
      <w:r>
        <w:rPr>
          <w:iCs/>
          <w:sz w:val="28"/>
          <w:szCs w:val="28"/>
        </w:rPr>
        <w:t xml:space="preserve"> số 10/2026/QĐ-UBND ngày 05/2/2026 </w:t>
      </w:r>
      <w:bookmarkStart w:id="0" w:name="loai_1_name"/>
      <w:r>
        <w:rPr>
          <w:iCs/>
          <w:sz w:val="28"/>
          <w:szCs w:val="28"/>
        </w:rPr>
        <w:t>quy định mức tỷ lệ phần trăm (%) để tính đơn giá thuê đất, đơn giá thuê đất để xây dựng công trình ngầm, đơn giá thuê đất đối với đất có mặt nước trên địa bàn tỉnh Hà Tĩnh</w:t>
      </w:r>
      <w:bookmarkEnd w:id="0"/>
      <w:r>
        <w:rPr>
          <w:iCs/>
          <w:sz w:val="28"/>
          <w:szCs w:val="28"/>
        </w:rPr>
        <w:t>; số 46/2026/QĐ-UBND ngày 01/7/2026 quy định hệ số điều chỉnh giá đất năm 2026 trên địa bàn tỉnh Hà Tĩnh;</w:t>
      </w:r>
    </w:p>
    <w:p w14:paraId="7BC496FE">
      <w:pPr>
        <w:spacing w:before="120" w:after="120"/>
        <w:ind w:firstLine="720"/>
        <w:jc w:val="both"/>
        <w:rPr>
          <w:rFonts w:hint="default"/>
          <w:iCs/>
          <w:sz w:val="28"/>
          <w:szCs w:val="28"/>
          <w:lang w:val="en-US"/>
        </w:rPr>
      </w:pPr>
      <w:r>
        <w:rPr>
          <w:iCs/>
          <w:sz w:val="28"/>
          <w:szCs w:val="28"/>
        </w:rPr>
        <w:t>Căn cứ các quyết định của UBND phường Nam Hồng Lĩnh: số 1241/QĐ-UBND ngày 12/8/2026 về việc phê duyệt Phương án tổng thể quản lý, sử dụng đất kèm danh mục khu đất, thửa đất cho thuê trong thời hạn không quá 05 năm</w:t>
      </w:r>
      <w:r>
        <w:rPr>
          <w:iCs/>
          <w:color w:val="000000" w:themeColor="text1"/>
          <w:sz w:val="28"/>
          <w:szCs w:val="28"/>
          <w14:textFill>
            <w14:solidFill>
              <w14:schemeClr w14:val="tx1"/>
            </w14:solidFill>
          </w14:textFill>
        </w:rPr>
        <w:t xml:space="preserve">; số </w:t>
      </w:r>
      <w:r>
        <w:rPr>
          <w:iCs/>
          <w:sz w:val="28"/>
          <w:szCs w:val="28"/>
        </w:rPr>
        <w:t xml:space="preserve">1294/QĐ-UBND ngày 20/8/2026 </w:t>
      </w:r>
      <w:r>
        <w:rPr>
          <w:iCs/>
          <w:color w:val="000000" w:themeColor="text1"/>
          <w:sz w:val="28"/>
          <w:szCs w:val="28"/>
          <w14:textFill>
            <w14:solidFill>
              <w14:schemeClr w14:val="tx1"/>
            </w14:solidFill>
          </w14:textFill>
        </w:rPr>
        <w:t>về việc phê duyệt đơn giá khởi điểm cho thuê đất đối với 06 khu đất, thửa đất cho thuê trong thời hạn không quá 05 năm trên địa bàn phường Nam Hồng Lĩnh</w:t>
      </w:r>
      <w:r>
        <w:rPr>
          <w:rFonts w:hint="default"/>
          <w:iCs/>
          <w:color w:val="000000" w:themeColor="text1"/>
          <w:sz w:val="28"/>
          <w:szCs w:val="28"/>
          <w:lang w:val="en-US"/>
          <w14:textFill>
            <w14:solidFill>
              <w14:schemeClr w14:val="tx1"/>
            </w14:solidFill>
          </w14:textFill>
        </w:rPr>
        <w:t>; số 1489/QĐ-UBND ngày 28/9/2026</w:t>
      </w:r>
      <w:r>
        <w:rPr>
          <w:rFonts w:hint="default"/>
          <w:iCs/>
          <w:sz w:val="28"/>
          <w:szCs w:val="28"/>
          <w:lang w:val="en-US"/>
        </w:rPr>
        <w:t xml:space="preserve"> v</w:t>
      </w:r>
      <w:r>
        <w:rPr>
          <w:iCs/>
          <w:sz w:val="28"/>
          <w:szCs w:val="28"/>
        </w:rPr>
        <w:t>ề việc điều chỉnh, bổ sung Phương án tổng thể quản lý, sử dụng đất kèm danh mục khu đất, thửa đất cho thuê trong thời hạn không quá 05 năm</w:t>
      </w:r>
      <w:r>
        <w:rPr>
          <w:rFonts w:hint="default"/>
          <w:iCs/>
          <w:sz w:val="28"/>
          <w:szCs w:val="28"/>
          <w:lang w:val="en-US"/>
        </w:rPr>
        <w:t>;</w:t>
      </w:r>
    </w:p>
    <w:p w14:paraId="597C828C">
      <w:pPr>
        <w:jc w:val="both"/>
        <w:rPr>
          <w:bCs/>
          <w:color w:val="000000" w:themeColor="text1"/>
          <w:sz w:val="34"/>
          <w:szCs w:val="34"/>
          <w14:textFill>
            <w14:solidFill>
              <w14:schemeClr w14:val="tx1"/>
            </w14:solidFill>
          </w14:textFill>
        </w:rPr>
      </w:pPr>
      <w:r>
        <w:rPr>
          <w:iCs/>
          <w:color w:val="000000" w:themeColor="text1"/>
          <w:sz w:val="28"/>
          <w:szCs w:val="28"/>
          <w14:textFill>
            <w14:solidFill>
              <w14:schemeClr w14:val="tx1"/>
            </w14:solidFill>
          </w14:textFill>
        </w:rPr>
        <w:tab/>
      </w:r>
      <w:r>
        <w:rPr>
          <w:iCs/>
          <w:color w:val="000000" w:themeColor="text1"/>
          <w:sz w:val="28"/>
          <w:szCs w:val="28"/>
          <w14:textFill>
            <w14:solidFill>
              <w14:schemeClr w14:val="tx1"/>
            </w14:solidFill>
          </w14:textFill>
        </w:rPr>
        <w:t xml:space="preserve">Ủy ban nhân dân phường Thông báo </w:t>
      </w:r>
      <w:r>
        <w:rPr>
          <w:i/>
          <w:color w:val="000000" w:themeColor="text1"/>
          <w:sz w:val="28"/>
          <w:szCs w:val="28"/>
          <w14:textFill>
            <w14:solidFill>
              <w14:schemeClr w14:val="tx1"/>
            </w14:solidFill>
          </w14:textFill>
        </w:rPr>
        <w:t>(lần 2)</w:t>
      </w:r>
      <w:r>
        <w:rPr>
          <w:iCs/>
          <w:color w:val="000000" w:themeColor="text1"/>
          <w:sz w:val="28"/>
          <w:szCs w:val="28"/>
          <w14:textFill>
            <w14:solidFill>
              <w14:schemeClr w14:val="tx1"/>
            </w14:solidFill>
          </w14:textFill>
        </w:rPr>
        <w:t xml:space="preserve"> </w:t>
      </w:r>
      <w:r>
        <w:rPr>
          <w:bCs/>
          <w:color w:val="000000" w:themeColor="text1"/>
          <w:sz w:val="28"/>
          <w:szCs w:val="28"/>
          <w14:textFill>
            <w14:solidFill>
              <w14:schemeClr w14:val="tx1"/>
            </w14:solidFill>
          </w14:textFill>
        </w:rPr>
        <w:t>về việc công bố công khai cho thuê đất đối với 01 khu đất, thửa đất cho thuê trong thời hạn không quá 05 năm trên địa bàn phường với các nội dung như sau:</w:t>
      </w:r>
    </w:p>
    <w:p w14:paraId="6BC37BA6">
      <w:pPr>
        <w:spacing w:before="120" w:after="120"/>
        <w:ind w:firstLine="720"/>
        <w:jc w:val="both"/>
        <w:rPr>
          <w:iCs/>
          <w:color w:val="000000" w:themeColor="text1"/>
          <w:sz w:val="28"/>
          <w:szCs w:val="28"/>
          <w14:textFill>
            <w14:solidFill>
              <w14:schemeClr w14:val="tx1"/>
            </w14:solidFill>
          </w14:textFill>
        </w:rPr>
      </w:pPr>
      <w:r>
        <w:rPr>
          <w:b/>
          <w:bCs/>
          <w:iCs/>
          <w:color w:val="000000" w:themeColor="text1"/>
          <w:sz w:val="28"/>
          <w:szCs w:val="28"/>
          <w14:textFill>
            <w14:solidFill>
              <w14:schemeClr w14:val="tx1"/>
            </w14:solidFill>
          </w14:textFill>
        </w:rPr>
        <w:t>1. Tên, địa chỉ đơn vị có tài sản cho thuê</w:t>
      </w:r>
      <w:r>
        <w:rPr>
          <w:iCs/>
          <w:color w:val="000000" w:themeColor="text1"/>
          <w:sz w:val="28"/>
          <w:szCs w:val="28"/>
          <w14:textFill>
            <w14:solidFill>
              <w14:schemeClr w14:val="tx1"/>
            </w14:solidFill>
          </w14:textFill>
        </w:rPr>
        <w:t>: Ủy ban nhân dân phường Nam Hồng Lĩnh; Địa chỉ: Số 92, đường Nguyễn Xuân Linh, phường Nam Hồng Lĩnh, tỉnh Hà Tĩnh.</w:t>
      </w:r>
    </w:p>
    <w:p w14:paraId="22DE4823">
      <w:pPr>
        <w:spacing w:before="120" w:after="120"/>
        <w:ind w:firstLine="720"/>
        <w:jc w:val="both"/>
        <w:rPr>
          <w:b/>
          <w:bCs/>
          <w:iCs/>
          <w:color w:val="000000" w:themeColor="text1"/>
          <w:sz w:val="28"/>
          <w:szCs w:val="28"/>
          <w14:textFill>
            <w14:solidFill>
              <w14:schemeClr w14:val="tx1"/>
            </w14:solidFill>
          </w14:textFill>
        </w:rPr>
      </w:pPr>
      <w:r>
        <w:rPr>
          <w:b/>
          <w:bCs/>
          <w:iCs/>
          <w:color w:val="000000" w:themeColor="text1"/>
          <w:sz w:val="28"/>
          <w:szCs w:val="28"/>
          <w14:textFill>
            <w14:solidFill>
              <w14:schemeClr w14:val="tx1"/>
            </w14:solidFill>
          </w14:textFill>
        </w:rPr>
        <w:t>2. Khu đất cho thuê:</w:t>
      </w:r>
    </w:p>
    <w:p w14:paraId="256AF80F">
      <w:pPr>
        <w:spacing w:before="60" w:after="60"/>
        <w:ind w:firstLine="720"/>
        <w:jc w:val="both"/>
        <w:rPr>
          <w:sz w:val="28"/>
          <w:szCs w:val="28"/>
        </w:rPr>
      </w:pPr>
      <w:r>
        <w:rPr>
          <w:sz w:val="28"/>
          <w:szCs w:val="28"/>
        </w:rPr>
        <w:t xml:space="preserve">Khu vực đất quy hoạch đường Phan Kính </w:t>
      </w:r>
      <w:r>
        <w:rPr>
          <w:i/>
          <w:iCs/>
          <w:sz w:val="28"/>
          <w:szCs w:val="28"/>
        </w:rPr>
        <w:t>(Hiện là đất bằng chưa sử dụng, bãi đỗ xe bệnh viện Hồng Hà),</w:t>
      </w:r>
      <w:r>
        <w:rPr>
          <w:sz w:val="28"/>
          <w:szCs w:val="28"/>
        </w:rPr>
        <w:t xml:space="preserve"> tại TDP 4 Nam Hồng:</w:t>
      </w:r>
    </w:p>
    <w:p w14:paraId="13BB0FA6">
      <w:pPr>
        <w:spacing w:before="60" w:after="60"/>
        <w:ind w:left="720"/>
        <w:rPr>
          <w:sz w:val="28"/>
          <w:szCs w:val="28"/>
        </w:rPr>
      </w:pPr>
      <w:r>
        <w:rPr>
          <w:sz w:val="28"/>
          <w:szCs w:val="28"/>
        </w:rPr>
        <w:t>- Mục đích cho thuê: Đất thương mại, dịch vụ;</w:t>
      </w:r>
    </w:p>
    <w:p w14:paraId="0A540FA0">
      <w:pPr>
        <w:spacing w:before="60" w:after="60"/>
        <w:ind w:left="720"/>
        <w:rPr>
          <w:sz w:val="28"/>
          <w:szCs w:val="28"/>
        </w:rPr>
      </w:pPr>
      <w:r>
        <w:rPr>
          <w:sz w:val="28"/>
          <w:szCs w:val="28"/>
        </w:rPr>
        <w:t>- Diện tích: 7.907,5 m²;</w:t>
      </w:r>
    </w:p>
    <w:p w14:paraId="55E82911">
      <w:pPr>
        <w:spacing w:before="60" w:after="60"/>
        <w:ind w:left="720"/>
        <w:rPr>
          <w:sz w:val="28"/>
          <w:szCs w:val="28"/>
        </w:rPr>
      </w:pPr>
      <w:r>
        <w:rPr>
          <w:sz w:val="28"/>
          <w:szCs w:val="28"/>
        </w:rPr>
        <w:t>- Tiền thuê đất khởi điểm: 523.936.607 đồng/năm;</w:t>
      </w:r>
    </w:p>
    <w:p w14:paraId="46CA83A9">
      <w:pPr>
        <w:spacing w:before="60" w:after="60"/>
        <w:ind w:left="720"/>
        <w:rPr>
          <w:sz w:val="28"/>
          <w:szCs w:val="28"/>
        </w:rPr>
      </w:pPr>
      <w:r>
        <w:rPr>
          <w:sz w:val="28"/>
          <w:szCs w:val="28"/>
        </w:rPr>
        <w:t>- Đơn giá khởi điểm: 66.258 đồng/m²/năm;</w:t>
      </w:r>
    </w:p>
    <w:p w14:paraId="1E4F4395">
      <w:pPr>
        <w:spacing w:before="60" w:after="60"/>
        <w:ind w:left="720"/>
        <w:jc w:val="center"/>
        <w:rPr>
          <w:i/>
          <w:spacing w:val="-4"/>
          <w:sz w:val="28"/>
        </w:rPr>
      </w:pPr>
      <w:r>
        <w:rPr>
          <w:i/>
          <w:sz w:val="28"/>
        </w:rPr>
        <w:t>(Có</w:t>
      </w:r>
      <w:r>
        <w:rPr>
          <w:i/>
          <w:spacing w:val="-3"/>
          <w:sz w:val="28"/>
        </w:rPr>
        <w:t xml:space="preserve"> </w:t>
      </w:r>
      <w:r>
        <w:rPr>
          <w:i/>
          <w:sz w:val="28"/>
        </w:rPr>
        <w:t>phụ</w:t>
      </w:r>
      <w:r>
        <w:rPr>
          <w:i/>
          <w:spacing w:val="-2"/>
          <w:sz w:val="28"/>
        </w:rPr>
        <w:t xml:space="preserve"> </w:t>
      </w:r>
      <w:r>
        <w:rPr>
          <w:i/>
          <w:sz w:val="28"/>
        </w:rPr>
        <w:t>lục</w:t>
      </w:r>
      <w:r>
        <w:rPr>
          <w:i/>
          <w:spacing w:val="-2"/>
          <w:sz w:val="28"/>
        </w:rPr>
        <w:t xml:space="preserve"> </w:t>
      </w:r>
      <w:r>
        <w:rPr>
          <w:i/>
          <w:sz w:val="28"/>
        </w:rPr>
        <w:t>chi</w:t>
      </w:r>
      <w:r>
        <w:rPr>
          <w:i/>
          <w:spacing w:val="-5"/>
          <w:sz w:val="28"/>
        </w:rPr>
        <w:t xml:space="preserve"> </w:t>
      </w:r>
      <w:r>
        <w:rPr>
          <w:i/>
          <w:sz w:val="28"/>
        </w:rPr>
        <w:t>tiết</w:t>
      </w:r>
      <w:r>
        <w:rPr>
          <w:i/>
          <w:spacing w:val="-1"/>
          <w:sz w:val="28"/>
        </w:rPr>
        <w:t xml:space="preserve"> </w:t>
      </w:r>
      <w:r>
        <w:rPr>
          <w:i/>
          <w:sz w:val="28"/>
        </w:rPr>
        <w:t>kèm</w:t>
      </w:r>
      <w:r>
        <w:rPr>
          <w:i/>
          <w:spacing w:val="-1"/>
          <w:sz w:val="28"/>
        </w:rPr>
        <w:t xml:space="preserve"> </w:t>
      </w:r>
      <w:r>
        <w:rPr>
          <w:i/>
          <w:spacing w:val="-4"/>
          <w:sz w:val="28"/>
        </w:rPr>
        <w:t>theo)</w:t>
      </w:r>
    </w:p>
    <w:p w14:paraId="53A00697">
      <w:pPr>
        <w:spacing w:before="79"/>
        <w:ind w:firstLine="720"/>
        <w:jc w:val="both"/>
        <w:rPr>
          <w:b/>
          <w:bCs/>
          <w:iCs/>
          <w:sz w:val="28"/>
        </w:rPr>
      </w:pPr>
      <w:r>
        <w:rPr>
          <w:b/>
          <w:bCs/>
          <w:iCs/>
          <w:sz w:val="28"/>
        </w:rPr>
        <w:t xml:space="preserve">3. Thời gian cho thuê: </w:t>
      </w:r>
      <w:r>
        <w:rPr>
          <w:iCs/>
          <w:sz w:val="28"/>
        </w:rPr>
        <w:t>Cho thuê trong thời hạn không quá 05 năm.</w:t>
      </w:r>
    </w:p>
    <w:p w14:paraId="6468DE2F">
      <w:pPr>
        <w:spacing w:before="79"/>
        <w:ind w:firstLine="720"/>
        <w:jc w:val="both"/>
        <w:rPr>
          <w:iCs/>
          <w:sz w:val="28"/>
        </w:rPr>
      </w:pPr>
      <w:r>
        <w:rPr>
          <w:b/>
          <w:bCs/>
          <w:iCs/>
          <w:sz w:val="28"/>
        </w:rPr>
        <w:t>4. Thời gian tổ chức cho người có nhu cầu thuê đất khảo sát thực địa:</w:t>
      </w:r>
      <w:r>
        <w:rPr>
          <w:iCs/>
          <w:sz w:val="28"/>
        </w:rPr>
        <w:t xml:space="preserve"> </w:t>
      </w:r>
      <w:r>
        <w:rPr>
          <w:iCs/>
          <w:sz w:val="28"/>
        </w:rPr>
        <w:tab/>
      </w:r>
      <w:r>
        <w:rPr>
          <w:iCs/>
          <w:sz w:val="28"/>
        </w:rPr>
        <w:t xml:space="preserve">Thời gian tổ chức khảo sát thực địa được thực hiện vào ngày làm việc trong khoảng thời gian tính từ ngày công bố công khai danh mục các khu đất, thửa đất cho thuê trong thời hạn không quá 05 năm đến trước ngày mở công bố công khai kết quả người được thuê đất. Người có nhu cầu liên hệ với phòng Kinh tế, Hạ tầng và Đô thị phường Nam Hồng Lĩnh để được hướng dẫn </w:t>
      </w:r>
      <w:r>
        <w:rPr>
          <w:i/>
          <w:sz w:val="28"/>
        </w:rPr>
        <w:t>(liên hệ qua ông Võ Đăng Hoan, số điện thoại: 091.155.8455)</w:t>
      </w:r>
      <w:r>
        <w:rPr>
          <w:iCs/>
          <w:sz w:val="28"/>
        </w:rPr>
        <w:t>.</w:t>
      </w:r>
    </w:p>
    <w:p w14:paraId="37A80797">
      <w:pPr>
        <w:spacing w:before="120" w:after="120"/>
        <w:ind w:firstLine="720"/>
        <w:jc w:val="both"/>
        <w:rPr>
          <w:b/>
          <w:bCs/>
          <w:sz w:val="28"/>
          <w:szCs w:val="28"/>
        </w:rPr>
      </w:pPr>
      <w:r>
        <w:rPr>
          <w:b/>
          <w:bCs/>
          <w:sz w:val="28"/>
          <w:szCs w:val="28"/>
        </w:rPr>
        <w:t>5. Địa điểm và thời hạn nộp hồ sơ đăng ký thuê đất:</w:t>
      </w:r>
    </w:p>
    <w:p w14:paraId="44380DDD">
      <w:pPr>
        <w:spacing w:before="120" w:after="120"/>
        <w:ind w:firstLine="720"/>
        <w:jc w:val="both"/>
        <w:rPr>
          <w:sz w:val="28"/>
          <w:szCs w:val="28"/>
        </w:rPr>
      </w:pPr>
      <w:r>
        <w:rPr>
          <w:sz w:val="28"/>
          <w:szCs w:val="28"/>
        </w:rPr>
        <w:t xml:space="preserve">- Địa điểm nộp hồ sơ đăng ký thuê đất: Phòng Kinh tế, Hạ tầng và Đô thị </w:t>
      </w:r>
      <w:r>
        <w:rPr>
          <w:i/>
          <w:iCs/>
          <w:sz w:val="28"/>
          <w:szCs w:val="28"/>
        </w:rPr>
        <w:t>(tầng 3)</w:t>
      </w:r>
      <w:r>
        <w:rPr>
          <w:sz w:val="28"/>
          <w:szCs w:val="28"/>
        </w:rPr>
        <w:t xml:space="preserve">, UBND phường Nam Hồng Lĩnh, </w:t>
      </w:r>
      <w:r>
        <w:rPr>
          <w:iCs/>
          <w:color w:val="000000" w:themeColor="text1"/>
          <w:sz w:val="28"/>
          <w:szCs w:val="28"/>
          <w14:textFill>
            <w14:solidFill>
              <w14:schemeClr w14:val="tx1"/>
            </w14:solidFill>
          </w14:textFill>
        </w:rPr>
        <w:t>địa chỉ: Số 92, đường Nguyễn Xuân Linh, phường Nam Hồng Lĩnh, tỉnh Hà Tĩnh</w:t>
      </w:r>
      <w:r>
        <w:rPr>
          <w:sz w:val="28"/>
          <w:szCs w:val="28"/>
        </w:rPr>
        <w:t>.</w:t>
      </w:r>
    </w:p>
    <w:p w14:paraId="2AE7894C">
      <w:pPr>
        <w:spacing w:before="120" w:after="120"/>
        <w:ind w:firstLine="720"/>
        <w:jc w:val="both"/>
        <w:rPr>
          <w:sz w:val="28"/>
          <w:szCs w:val="28"/>
        </w:rPr>
      </w:pPr>
      <w:r>
        <w:rPr>
          <w:sz w:val="28"/>
          <w:szCs w:val="28"/>
        </w:rPr>
        <w:t xml:space="preserve">- Thời hạn nộp hồ sơ đăng ký thuê đất: Trong vòng 15 ngày, kể từ ngày 28/09/2026 đến hết ngày 12/10/2026 </w:t>
      </w:r>
      <w:r>
        <w:rPr>
          <w:i/>
          <w:iCs/>
          <w:sz w:val="28"/>
          <w:szCs w:val="28"/>
        </w:rPr>
        <w:t>(theo giờ làm việc hành chính)</w:t>
      </w:r>
      <w:r>
        <w:rPr>
          <w:sz w:val="28"/>
          <w:szCs w:val="28"/>
        </w:rPr>
        <w:t>.</w:t>
      </w:r>
    </w:p>
    <w:p w14:paraId="41D0CFBE">
      <w:pPr>
        <w:spacing w:before="120" w:after="120"/>
        <w:ind w:firstLine="720"/>
        <w:jc w:val="both"/>
        <w:rPr>
          <w:b/>
          <w:bCs/>
          <w:spacing w:val="-6"/>
          <w:sz w:val="28"/>
          <w:szCs w:val="28"/>
        </w:rPr>
      </w:pPr>
      <w:r>
        <w:rPr>
          <w:b/>
          <w:bCs/>
          <w:spacing w:val="-6"/>
          <w:sz w:val="28"/>
          <w:szCs w:val="28"/>
        </w:rPr>
        <w:t>6. Thời điểm xét chọn, công bố công khai xác định người được thuê đất:</w:t>
      </w:r>
    </w:p>
    <w:p w14:paraId="6FB8C8A3">
      <w:pPr>
        <w:spacing w:before="120" w:after="120"/>
        <w:ind w:firstLine="720"/>
        <w:jc w:val="both"/>
        <w:rPr>
          <w:sz w:val="28"/>
          <w:szCs w:val="28"/>
        </w:rPr>
      </w:pPr>
      <w:r>
        <w:rPr>
          <w:sz w:val="28"/>
          <w:szCs w:val="28"/>
        </w:rPr>
        <w:t>Bắt đầu từ 7 giờ 30 phút ngày 13/10/2026.</w:t>
      </w:r>
      <w:r>
        <w:rPr>
          <w:sz w:val="28"/>
          <w:szCs w:val="28"/>
        </w:rPr>
        <w:tab/>
      </w:r>
    </w:p>
    <w:p w14:paraId="38685624">
      <w:pPr>
        <w:spacing w:before="120" w:after="120"/>
        <w:ind w:firstLine="720"/>
        <w:jc w:val="both"/>
        <w:rPr>
          <w:sz w:val="28"/>
          <w:szCs w:val="28"/>
        </w:rPr>
      </w:pPr>
      <w:r>
        <w:rPr>
          <w:b/>
          <w:bCs/>
          <w:sz w:val="28"/>
          <w:szCs w:val="28"/>
        </w:rPr>
        <w:t>7. Mẫu đơn, phiếu đề xuất giá xin thuê đất:</w:t>
      </w:r>
      <w:r>
        <w:rPr>
          <w:sz w:val="28"/>
          <w:szCs w:val="28"/>
        </w:rPr>
        <w:t xml:space="preserve"> Theo Mẫu ban hành kèm theo Quyết định số 26/2025/QĐ-UBND ngày 09/04/2025 của UBND tỉnh.</w:t>
      </w:r>
    </w:p>
    <w:p w14:paraId="294BF7C8">
      <w:pPr>
        <w:spacing w:before="120" w:after="120"/>
        <w:ind w:firstLine="720"/>
        <w:jc w:val="both"/>
        <w:rPr>
          <w:b/>
          <w:bCs/>
          <w:sz w:val="28"/>
          <w:szCs w:val="28"/>
        </w:rPr>
      </w:pPr>
      <w:r>
        <w:rPr>
          <w:b/>
          <w:bCs/>
          <w:sz w:val="28"/>
          <w:szCs w:val="28"/>
        </w:rPr>
        <w:t>8. Đối tượng, hình thức lựa chọn và hồ sơ đăng ký thuê đất</w:t>
      </w:r>
    </w:p>
    <w:p w14:paraId="626D84E0">
      <w:pPr>
        <w:spacing w:before="120" w:after="120"/>
        <w:ind w:firstLine="720"/>
        <w:jc w:val="both"/>
        <w:rPr>
          <w:sz w:val="28"/>
          <w:szCs w:val="28"/>
        </w:rPr>
      </w:pPr>
      <w:r>
        <w:rPr>
          <w:sz w:val="28"/>
          <w:szCs w:val="28"/>
        </w:rPr>
        <w:t>a) Đối tượng được thuê đất và hình thức lựa chọn cho thuê đất</w:t>
      </w:r>
    </w:p>
    <w:p w14:paraId="4C34BFAE">
      <w:pPr>
        <w:spacing w:before="120" w:after="120"/>
        <w:ind w:firstLine="720"/>
        <w:jc w:val="both"/>
        <w:rPr>
          <w:sz w:val="28"/>
          <w:szCs w:val="28"/>
        </w:rPr>
      </w:pPr>
      <w:r>
        <w:rPr>
          <w:sz w:val="28"/>
          <w:szCs w:val="28"/>
        </w:rPr>
        <w:t xml:space="preserve">- Đối tượng được thuê đất: </w:t>
      </w:r>
    </w:p>
    <w:p w14:paraId="1E8F81AF">
      <w:pPr>
        <w:spacing w:before="120" w:after="120"/>
        <w:ind w:firstLine="720"/>
        <w:jc w:val="both"/>
        <w:rPr>
          <w:sz w:val="28"/>
          <w:szCs w:val="28"/>
        </w:rPr>
      </w:pPr>
      <w:r>
        <w:rPr>
          <w:sz w:val="28"/>
          <w:szCs w:val="28"/>
        </w:rPr>
        <w:t>+ Tổ chức kinh tế trong nước, tổ chức kinh tế có vốn đầu tư nước ngoài; cơ quan nhà nước, đơn vị sự nghiệp; cá nhân trong nước, người Việt Nam định cư ở nước ngoài là công dân Việt Nam có đủ năng lực hành vi dân sự.</w:t>
      </w:r>
    </w:p>
    <w:p w14:paraId="40E2764E">
      <w:pPr>
        <w:spacing w:before="120" w:after="120"/>
        <w:ind w:firstLine="720"/>
        <w:jc w:val="both"/>
        <w:rPr>
          <w:sz w:val="28"/>
          <w:szCs w:val="28"/>
        </w:rPr>
      </w:pPr>
      <w:r>
        <w:rPr>
          <w:sz w:val="28"/>
          <w:szCs w:val="28"/>
        </w:rPr>
        <w:t xml:space="preserve">+ Tổ chức, cá nhân thuê đất không phải chứng minh năng lực tài chính, không phải đáp ứng các điều kiện liên quan như giao đất, cho thuê đất để thực hiện dự án đầu tư </w:t>
      </w:r>
      <w:r>
        <w:rPr>
          <w:i/>
          <w:iCs/>
          <w:sz w:val="28"/>
          <w:szCs w:val="28"/>
        </w:rPr>
        <w:t>(trừ trường hợp đối với tổ chức kinh tế và đơn vị sự nghiệp thì phải có ngành nghề kinh doanh hoặc chức năng, nhiệm vụ phù hợp với mục đích sử dụng đất thuê)</w:t>
      </w:r>
      <w:r>
        <w:rPr>
          <w:sz w:val="28"/>
          <w:szCs w:val="28"/>
        </w:rPr>
        <w:t>.</w:t>
      </w:r>
    </w:p>
    <w:p w14:paraId="749DE8DD">
      <w:pPr>
        <w:spacing w:before="120" w:after="120"/>
        <w:ind w:firstLine="720"/>
        <w:jc w:val="both"/>
        <w:rPr>
          <w:sz w:val="28"/>
          <w:szCs w:val="28"/>
        </w:rPr>
      </w:pPr>
      <w:r>
        <w:rPr>
          <w:sz w:val="28"/>
          <w:szCs w:val="28"/>
        </w:rPr>
        <w:t xml:space="preserve">+ Tổ chức, cá nhân thuê đất chỉ được xây dựng công trình tạm hoặc cải tạo, sửa chữa công trình đã có gắn liền với đất khi thuê </w:t>
      </w:r>
      <w:r>
        <w:rPr>
          <w:i/>
          <w:iCs/>
          <w:sz w:val="28"/>
          <w:szCs w:val="28"/>
        </w:rPr>
        <w:t>(bao gồm cả lắp đặt thiết bị)</w:t>
      </w:r>
      <w:r>
        <w:rPr>
          <w:sz w:val="28"/>
          <w:szCs w:val="28"/>
        </w:rPr>
        <w:t xml:space="preserve"> theo thỏa thuận với UBND phường và phải cam kết tự nguyện tháo dỡ công trình tạm, phần cải tạo, sửa chữa khi có thông báo chấm dứt hợp đồng và không được bồi thường công trình tạm, chi phí cải tạo.</w:t>
      </w:r>
    </w:p>
    <w:p w14:paraId="6DF488B4">
      <w:pPr>
        <w:spacing w:before="120" w:after="120"/>
        <w:ind w:firstLine="720"/>
        <w:jc w:val="both"/>
        <w:rPr>
          <w:sz w:val="28"/>
          <w:szCs w:val="28"/>
        </w:rPr>
      </w:pPr>
      <w:r>
        <w:rPr>
          <w:sz w:val="28"/>
          <w:szCs w:val="28"/>
        </w:rPr>
        <w:t>(</w:t>
      </w:r>
      <w:r>
        <w:rPr>
          <w:b/>
          <w:bCs/>
          <w:sz w:val="28"/>
          <w:szCs w:val="28"/>
          <w:u w:val="single"/>
        </w:rPr>
        <w:t>Lưu ý</w:t>
      </w:r>
      <w:r>
        <w:rPr>
          <w:sz w:val="28"/>
          <w:szCs w:val="28"/>
        </w:rPr>
        <w:t>: Số tiền đặt cọc bằng 15% giá trị dự toán xây dựng công trình tạm và chi phí cải tạo, sửa chữa công trình gắn liền với đất và 5% giá trị dự toán lắp đặt trang thiết bị theo phương án thuê đất của tổ chức, cá nhân được lựa chọn. Tiền đặt cọc được nộp đủ trước khi ký hợp đồng)</w:t>
      </w:r>
    </w:p>
    <w:p w14:paraId="5A483D7B">
      <w:pPr>
        <w:spacing w:before="120" w:after="120"/>
        <w:ind w:firstLine="720"/>
        <w:jc w:val="both"/>
        <w:rPr>
          <w:sz w:val="28"/>
          <w:szCs w:val="28"/>
        </w:rPr>
      </w:pPr>
      <w:r>
        <w:rPr>
          <w:sz w:val="28"/>
          <w:szCs w:val="28"/>
        </w:rPr>
        <w:t xml:space="preserve">- Hình thức lựa chọn cho thuê đất: </w:t>
      </w:r>
    </w:p>
    <w:p w14:paraId="026ED72B">
      <w:pPr>
        <w:spacing w:before="120" w:after="120"/>
        <w:ind w:firstLine="720"/>
        <w:jc w:val="both"/>
        <w:rPr>
          <w:sz w:val="28"/>
          <w:szCs w:val="28"/>
        </w:rPr>
      </w:pPr>
      <w:r>
        <w:rPr>
          <w:sz w:val="28"/>
          <w:szCs w:val="28"/>
        </w:rPr>
        <w:t>Tổ chức, cá nhân đề xuất giá thuê đất cao nhất và đảm bảo đơn giá thuê đất không thấp hơn đơn giá khởi điểm cho thuê đất đã công bố thì được lựa chọn là người được thuê đất.</w:t>
      </w:r>
    </w:p>
    <w:p w14:paraId="71412FC3">
      <w:pPr>
        <w:spacing w:before="120" w:after="120"/>
        <w:ind w:firstLine="720"/>
        <w:jc w:val="both"/>
        <w:rPr>
          <w:sz w:val="28"/>
          <w:szCs w:val="28"/>
        </w:rPr>
      </w:pPr>
      <w:r>
        <w:rPr>
          <w:sz w:val="28"/>
          <w:szCs w:val="28"/>
        </w:rPr>
        <w:t>b) Hồ sơ đăng ký thuê đất, hình thức nộp hồ sơ</w:t>
      </w:r>
    </w:p>
    <w:p w14:paraId="6CD22CF2">
      <w:pPr>
        <w:spacing w:before="120" w:after="120"/>
        <w:ind w:firstLine="720"/>
        <w:jc w:val="both"/>
        <w:rPr>
          <w:sz w:val="28"/>
          <w:szCs w:val="28"/>
        </w:rPr>
      </w:pPr>
      <w:r>
        <w:rPr>
          <w:sz w:val="28"/>
          <w:szCs w:val="28"/>
        </w:rPr>
        <w:t>- Hồ sơ đăng ký thuê đất gồm có:</w:t>
      </w:r>
    </w:p>
    <w:p w14:paraId="5613406A">
      <w:pPr>
        <w:spacing w:before="120" w:after="120"/>
        <w:ind w:firstLine="720"/>
        <w:jc w:val="both"/>
        <w:rPr>
          <w:sz w:val="28"/>
          <w:szCs w:val="28"/>
        </w:rPr>
      </w:pPr>
      <w:r>
        <w:rPr>
          <w:sz w:val="28"/>
          <w:szCs w:val="28"/>
        </w:rPr>
        <w:t>+ Đơn xin thuê đất ngắn hạn theo mẫu do UBND phường phát hành.</w:t>
      </w:r>
    </w:p>
    <w:p w14:paraId="3B9B1021">
      <w:pPr>
        <w:spacing w:before="120" w:after="120"/>
        <w:ind w:firstLine="720"/>
        <w:jc w:val="both"/>
        <w:rPr>
          <w:sz w:val="28"/>
          <w:szCs w:val="28"/>
        </w:rPr>
      </w:pPr>
      <w:r>
        <w:rPr>
          <w:sz w:val="28"/>
          <w:szCs w:val="28"/>
        </w:rPr>
        <w:t>+ Bản sao giấy tờ chứng minh tư cách pháp nhân đối với tổ chức, Căn cước công dân đối với cá nhân.</w:t>
      </w:r>
    </w:p>
    <w:p w14:paraId="46C691DD">
      <w:pPr>
        <w:spacing w:before="120" w:after="120"/>
        <w:ind w:firstLine="720"/>
        <w:jc w:val="both"/>
        <w:rPr>
          <w:sz w:val="28"/>
          <w:szCs w:val="28"/>
        </w:rPr>
      </w:pPr>
      <w:r>
        <w:rPr>
          <w:sz w:val="28"/>
          <w:szCs w:val="28"/>
        </w:rPr>
        <w:t>+ Phiếu đề xuất giá thuê đất theo mẫu do UBND phường phát hành.</w:t>
      </w:r>
    </w:p>
    <w:p w14:paraId="224BDA20">
      <w:pPr>
        <w:spacing w:before="120" w:after="120"/>
        <w:ind w:firstLine="720"/>
        <w:jc w:val="both"/>
        <w:rPr>
          <w:sz w:val="28"/>
          <w:szCs w:val="28"/>
        </w:rPr>
      </w:pPr>
      <w:r>
        <w:rPr>
          <w:sz w:val="28"/>
          <w:szCs w:val="28"/>
        </w:rPr>
        <w:t>+ Bản sao giấy tờ chứng minh có ngành nghề kinh doanh hoặc chức năng nhiệm vụ phù hợp với mục đích sử dụng đất thuê đối với tổ chức kinh tế và đơn vị sự nghiệp.</w:t>
      </w:r>
    </w:p>
    <w:p w14:paraId="1D8F4974">
      <w:pPr>
        <w:spacing w:before="120" w:after="120"/>
        <w:ind w:firstLine="720"/>
        <w:jc w:val="both"/>
        <w:rPr>
          <w:sz w:val="28"/>
          <w:szCs w:val="28"/>
        </w:rPr>
      </w:pPr>
      <w:r>
        <w:rPr>
          <w:sz w:val="28"/>
          <w:szCs w:val="28"/>
        </w:rPr>
        <w:t>+ Phương án sử dụng đất; cung cấp thiết kế sơ bộ thể hiện ý tưởng xây dựng công trình tạm trên khu đất; thiết kế phải nêu rõ vị trí, diện tịch, có nền, chiều cao công trình và hình thức xây dựng.</w:t>
      </w:r>
    </w:p>
    <w:p w14:paraId="241BEEB4">
      <w:pPr>
        <w:spacing w:before="120" w:after="120"/>
        <w:ind w:firstLine="720"/>
        <w:jc w:val="both"/>
        <w:rPr>
          <w:sz w:val="28"/>
          <w:szCs w:val="28"/>
        </w:rPr>
      </w:pPr>
      <w:r>
        <w:rPr>
          <w:sz w:val="28"/>
          <w:szCs w:val="28"/>
        </w:rPr>
        <w:t>- Hình thức nộp hồ sơ:</w:t>
      </w:r>
    </w:p>
    <w:p w14:paraId="50B3150F">
      <w:pPr>
        <w:spacing w:before="120" w:after="120"/>
        <w:ind w:firstLine="720"/>
        <w:jc w:val="both"/>
        <w:rPr>
          <w:sz w:val="28"/>
          <w:szCs w:val="28"/>
        </w:rPr>
      </w:pPr>
      <w:r>
        <w:rPr>
          <w:sz w:val="28"/>
          <w:szCs w:val="28"/>
        </w:rPr>
        <w:t xml:space="preserve">+ Hồ sơ đăng ký thuê đất nộp trực tiếp tại phòng Phòng Kinh tế, Hạ tầng và Đô thị </w:t>
      </w:r>
      <w:r>
        <w:rPr>
          <w:i/>
          <w:iCs/>
          <w:sz w:val="28"/>
          <w:szCs w:val="28"/>
        </w:rPr>
        <w:t>(tầng 3),</w:t>
      </w:r>
      <w:r>
        <w:rPr>
          <w:sz w:val="28"/>
          <w:szCs w:val="28"/>
        </w:rPr>
        <w:t xml:space="preserve"> UBND phường Nam Hồng Lĩnh.</w:t>
      </w:r>
    </w:p>
    <w:p w14:paraId="73CF86EB">
      <w:pPr>
        <w:spacing w:before="120" w:after="120"/>
        <w:ind w:firstLine="720"/>
        <w:jc w:val="both"/>
        <w:rPr>
          <w:sz w:val="28"/>
          <w:szCs w:val="28"/>
        </w:rPr>
      </w:pPr>
      <w:r>
        <w:rPr>
          <w:sz w:val="28"/>
          <w:szCs w:val="28"/>
        </w:rPr>
        <w:t>+ Phiếu đề xuất giá thuê đất được đựng trong túi hồ sơ niêm phong có ký, đóng dấu đối với tổ chức, chữ ký đối với cá nhân và bỏ trực tiếp vào thùng phiếu đã được niêm phong được camera giám sát thường xuyên 24/24 giờ từ khi niêm phong thùng phiếu cho đến khi mở niêm phong thùng phiếu.</w:t>
      </w:r>
    </w:p>
    <w:p w14:paraId="7E121C93">
      <w:pPr>
        <w:spacing w:before="120" w:after="120"/>
        <w:ind w:firstLine="720"/>
        <w:jc w:val="both"/>
        <w:rPr>
          <w:sz w:val="28"/>
          <w:szCs w:val="28"/>
        </w:rPr>
      </w:pPr>
      <w:r>
        <w:rPr>
          <w:sz w:val="28"/>
          <w:szCs w:val="28"/>
        </w:rPr>
        <w:t>Ủy ban nhân dân phường Nam Hồng Lĩnh thông báo để các tổ chức, cá nhân có nhu cầu thuê đất trong thời hạn không quá 05 năm được biết, nộp hồ sơ đăng ký tham gia thuê đất theo quy định./.</w:t>
      </w:r>
    </w:p>
    <w:p w14:paraId="028F7AA8">
      <w:pPr>
        <w:spacing w:before="40" w:after="40" w:line="288" w:lineRule="auto"/>
        <w:jc w:val="both"/>
        <w:rPr>
          <w:color w:val="000000" w:themeColor="text1"/>
          <w:spacing w:val="-6"/>
          <w:sz w:val="6"/>
          <w:szCs w:val="28"/>
          <w14:textFill>
            <w14:solidFill>
              <w14:schemeClr w14:val="tx1"/>
            </w14:solidFill>
          </w14:textFill>
        </w:rPr>
      </w:pPr>
    </w:p>
    <w:p w14:paraId="55612F36">
      <w:pPr>
        <w:ind w:firstLine="720"/>
        <w:jc w:val="both"/>
        <w:rPr>
          <w:color w:val="000000" w:themeColor="text1"/>
          <w:sz w:val="4"/>
          <w:szCs w:val="28"/>
          <w14:textFill>
            <w14:solidFill>
              <w14:schemeClr w14:val="tx1"/>
            </w14:solidFill>
          </w14:textFill>
        </w:rPr>
      </w:pPr>
    </w:p>
    <w:tbl>
      <w:tblPr>
        <w:tblStyle w:val="12"/>
        <w:tblW w:w="0" w:type="auto"/>
        <w:tblInd w:w="0" w:type="dxa"/>
        <w:tblLayout w:type="autofit"/>
        <w:tblCellMar>
          <w:top w:w="0" w:type="dxa"/>
          <w:left w:w="0" w:type="dxa"/>
          <w:bottom w:w="0" w:type="dxa"/>
          <w:right w:w="0" w:type="dxa"/>
        </w:tblCellMar>
      </w:tblPr>
      <w:tblGrid>
        <w:gridCol w:w="5146"/>
        <w:gridCol w:w="3978"/>
      </w:tblGrid>
      <w:tr w14:paraId="0306F9D6">
        <w:tblPrEx>
          <w:tblCellMar>
            <w:top w:w="0" w:type="dxa"/>
            <w:left w:w="0" w:type="dxa"/>
            <w:bottom w:w="0" w:type="dxa"/>
            <w:right w:w="0" w:type="dxa"/>
          </w:tblCellMar>
        </w:tblPrEx>
        <w:trPr>
          <w:trHeight w:val="1993" w:hRule="atLeast"/>
        </w:trPr>
        <w:tc>
          <w:tcPr>
            <w:tcW w:w="5341" w:type="dxa"/>
            <w:tcBorders>
              <w:top w:val="nil"/>
              <w:left w:val="nil"/>
              <w:bottom w:val="nil"/>
              <w:right w:val="nil"/>
            </w:tcBorders>
            <w:tcMar>
              <w:top w:w="0" w:type="dxa"/>
              <w:left w:w="108" w:type="dxa"/>
              <w:bottom w:w="0" w:type="dxa"/>
              <w:right w:w="108" w:type="dxa"/>
            </w:tcMar>
          </w:tcPr>
          <w:p w14:paraId="665312C2">
            <w:pPr>
              <w:spacing w:line="256" w:lineRule="auto"/>
              <w:rPr>
                <w:color w:val="000000" w:themeColor="text1"/>
                <w:lang w:val="it-IT"/>
                <w14:textFill>
                  <w14:solidFill>
                    <w14:schemeClr w14:val="tx1"/>
                  </w14:solidFill>
                </w14:textFill>
              </w:rPr>
            </w:pPr>
            <w:r>
              <w:rPr>
                <w:color w:val="000000" w:themeColor="text1"/>
                <w:lang w:val="it-IT"/>
                <w14:textFill>
                  <w14:solidFill>
                    <w14:schemeClr w14:val="tx1"/>
                  </w14:solidFill>
                </w14:textFill>
              </w:rPr>
              <w:t> </w:t>
            </w:r>
            <w:r>
              <w:rPr>
                <w:b/>
                <w:i/>
                <w:color w:val="000000" w:themeColor="text1"/>
                <w:lang w:val="it-IT"/>
                <w14:textFill>
                  <w14:solidFill>
                    <w14:schemeClr w14:val="tx1"/>
                  </w14:solidFill>
                </w14:textFill>
              </w:rPr>
              <w:t>Nơi nhận:</w:t>
            </w:r>
            <w:r>
              <w:rPr>
                <w:color w:val="000000" w:themeColor="text1"/>
                <w:lang w:val="it-IT"/>
                <w14:textFill>
                  <w14:solidFill>
                    <w14:schemeClr w14:val="tx1"/>
                  </w14:solidFill>
                </w14:textFill>
              </w:rPr>
              <w:br w:type="textWrapping"/>
            </w:r>
            <w:r>
              <w:rPr>
                <w:color w:val="000000" w:themeColor="text1"/>
                <w:sz w:val="22"/>
                <w:szCs w:val="22"/>
                <w:lang w:val="it-IT"/>
                <w14:textFill>
                  <w14:solidFill>
                    <w14:schemeClr w14:val="tx1"/>
                  </w14:solidFill>
                </w14:textFill>
              </w:rPr>
              <w:t>- Chủ tịch, PCT UBND phường;</w:t>
            </w:r>
          </w:p>
          <w:p w14:paraId="1C037784">
            <w:pPr>
              <w:jc w:val="both"/>
              <w:rPr>
                <w:color w:val="000000" w:themeColor="text1"/>
                <w:sz w:val="22"/>
                <w:szCs w:val="22"/>
                <w:lang w:val="it-IT"/>
                <w14:textFill>
                  <w14:solidFill>
                    <w14:schemeClr w14:val="tx1"/>
                  </w14:solidFill>
                </w14:textFill>
              </w:rPr>
            </w:pPr>
            <w:r>
              <w:rPr>
                <w:color w:val="000000" w:themeColor="text1"/>
                <w:sz w:val="22"/>
                <w:szCs w:val="22"/>
                <w:lang w:val="it-IT"/>
                <w14:textFill>
                  <w14:solidFill>
                    <w14:schemeClr w14:val="tx1"/>
                  </w14:solidFill>
                </w14:textFill>
              </w:rPr>
              <w:t>- Cổng TTĐT phường (đăng tải);</w:t>
            </w:r>
          </w:p>
          <w:p w14:paraId="7F99464A">
            <w:pPr>
              <w:jc w:val="both"/>
              <w:rPr>
                <w:color w:val="000000" w:themeColor="text1"/>
                <w:lang w:val="it-IT"/>
                <w14:textFill>
                  <w14:solidFill>
                    <w14:schemeClr w14:val="tx1"/>
                  </w14:solidFill>
                </w14:textFill>
              </w:rPr>
            </w:pPr>
            <w:r>
              <w:rPr>
                <w:color w:val="000000" w:themeColor="text1"/>
                <w:sz w:val="22"/>
                <w:szCs w:val="22"/>
                <w:lang w:val="it-IT"/>
                <w14:textFill>
                  <w14:solidFill>
                    <w14:schemeClr w14:val="tx1"/>
                  </w14:solidFill>
                </w14:textFill>
              </w:rPr>
              <w:t>- Các Tổ dân phố;</w:t>
            </w:r>
          </w:p>
          <w:p w14:paraId="4C0CD107">
            <w:pPr>
              <w:spacing w:line="256" w:lineRule="auto"/>
              <w:rPr>
                <w:color w:val="000000" w:themeColor="text1"/>
                <w:szCs w:val="28"/>
                <w:lang w:val="it-IT"/>
                <w14:textFill>
                  <w14:solidFill>
                    <w14:schemeClr w14:val="tx1"/>
                  </w14:solidFill>
                </w14:textFill>
              </w:rPr>
            </w:pPr>
            <w:r>
              <w:rPr>
                <w:color w:val="000000" w:themeColor="text1"/>
                <w:sz w:val="22"/>
                <w:szCs w:val="22"/>
                <w:lang w:val="it-IT"/>
                <w14:textFill>
                  <w14:solidFill>
                    <w14:schemeClr w14:val="tx1"/>
                  </w14:solidFill>
                </w14:textFill>
              </w:rPr>
              <w:t>- Lưu: VT, KTHTĐT.</w:t>
            </w:r>
          </w:p>
        </w:tc>
        <w:tc>
          <w:tcPr>
            <w:tcW w:w="4123" w:type="dxa"/>
            <w:tcBorders>
              <w:top w:val="nil"/>
              <w:left w:val="nil"/>
              <w:bottom w:val="nil"/>
              <w:right w:val="nil"/>
            </w:tcBorders>
            <w:tcMar>
              <w:top w:w="0" w:type="dxa"/>
              <w:left w:w="108" w:type="dxa"/>
              <w:bottom w:w="0" w:type="dxa"/>
              <w:right w:w="108" w:type="dxa"/>
            </w:tcMar>
          </w:tcPr>
          <w:p w14:paraId="393E4973">
            <w:pPr>
              <w:spacing w:line="256" w:lineRule="auto"/>
              <w:jc w:val="center"/>
              <w:rPr>
                <w:b/>
                <w:color w:val="000000" w:themeColor="text1"/>
                <w:sz w:val="26"/>
                <w:szCs w:val="26"/>
                <w:lang w:val="it-IT"/>
                <w14:textFill>
                  <w14:solidFill>
                    <w14:schemeClr w14:val="tx1"/>
                  </w14:solidFill>
                </w14:textFill>
              </w:rPr>
            </w:pPr>
            <w:r>
              <w:rPr>
                <w:b/>
                <w:color w:val="000000" w:themeColor="text1"/>
                <w:sz w:val="26"/>
                <w:szCs w:val="26"/>
                <w:lang w:val="it-IT"/>
                <w14:textFill>
                  <w14:solidFill>
                    <w14:schemeClr w14:val="tx1"/>
                  </w14:solidFill>
                </w14:textFill>
              </w:rPr>
              <w:t xml:space="preserve">TM. ỦY BAN NHÂN DÂN </w:t>
            </w:r>
          </w:p>
          <w:p w14:paraId="1683E9A8">
            <w:pPr>
              <w:spacing w:line="256" w:lineRule="auto"/>
              <w:jc w:val="center"/>
              <w:rPr>
                <w:b/>
                <w:color w:val="000000" w:themeColor="text1"/>
                <w:sz w:val="26"/>
                <w:szCs w:val="26"/>
                <w:lang w:val="it-IT"/>
                <w14:textFill>
                  <w14:solidFill>
                    <w14:schemeClr w14:val="tx1"/>
                  </w14:solidFill>
                </w14:textFill>
              </w:rPr>
            </w:pPr>
            <w:r>
              <w:rPr>
                <w:b/>
                <w:color w:val="000000" w:themeColor="text1"/>
                <w:sz w:val="26"/>
                <w:szCs w:val="26"/>
                <w:lang w:val="it-IT"/>
                <w14:textFill>
                  <w14:solidFill>
                    <w14:schemeClr w14:val="tx1"/>
                  </w14:solidFill>
                </w14:textFill>
              </w:rPr>
              <w:t>CHỦ TỊCH</w:t>
            </w:r>
          </w:p>
          <w:p w14:paraId="1C23A5D9">
            <w:pPr>
              <w:spacing w:line="256" w:lineRule="auto"/>
              <w:rPr>
                <w:color w:val="000000" w:themeColor="text1"/>
                <w:lang w:val="it-IT"/>
                <w14:textFill>
                  <w14:solidFill>
                    <w14:schemeClr w14:val="tx1"/>
                  </w14:solidFill>
                </w14:textFill>
              </w:rPr>
            </w:pPr>
          </w:p>
          <w:p w14:paraId="1D2B82FC">
            <w:pPr>
              <w:spacing w:line="256" w:lineRule="auto"/>
              <w:rPr>
                <w:color w:val="000000" w:themeColor="text1"/>
                <w:lang w:val="it-IT"/>
                <w14:textFill>
                  <w14:solidFill>
                    <w14:schemeClr w14:val="tx1"/>
                  </w14:solidFill>
                </w14:textFill>
              </w:rPr>
            </w:pPr>
          </w:p>
          <w:p w14:paraId="3A6FD12C">
            <w:pPr>
              <w:spacing w:line="256" w:lineRule="auto"/>
              <w:rPr>
                <w:color w:val="000000" w:themeColor="text1"/>
                <w:lang w:val="it-IT"/>
                <w14:textFill>
                  <w14:solidFill>
                    <w14:schemeClr w14:val="tx1"/>
                  </w14:solidFill>
                </w14:textFill>
              </w:rPr>
            </w:pPr>
          </w:p>
          <w:p w14:paraId="77AB189E">
            <w:pPr>
              <w:spacing w:line="256" w:lineRule="auto"/>
              <w:rPr>
                <w:color w:val="000000" w:themeColor="text1"/>
                <w:lang w:val="it-IT"/>
                <w14:textFill>
                  <w14:solidFill>
                    <w14:schemeClr w14:val="tx1"/>
                  </w14:solidFill>
                </w14:textFill>
              </w:rPr>
            </w:pPr>
            <w:bookmarkStart w:id="1" w:name="_GoBack"/>
            <w:bookmarkEnd w:id="1"/>
          </w:p>
          <w:p w14:paraId="0A36AFD3">
            <w:pPr>
              <w:spacing w:line="256" w:lineRule="auto"/>
              <w:rPr>
                <w:color w:val="000000" w:themeColor="text1"/>
                <w:sz w:val="8"/>
                <w:lang w:val="it-IT"/>
                <w14:textFill>
                  <w14:solidFill>
                    <w14:schemeClr w14:val="tx1"/>
                  </w14:solidFill>
                </w14:textFill>
              </w:rPr>
            </w:pPr>
          </w:p>
          <w:p w14:paraId="23C8F28A">
            <w:pPr>
              <w:spacing w:line="256" w:lineRule="auto"/>
              <w:jc w:val="center"/>
              <w:rPr>
                <w:b/>
                <w:color w:val="000000" w:themeColor="text1"/>
                <w:sz w:val="28"/>
                <w:szCs w:val="28"/>
                <w:lang w:val="it-IT"/>
                <w14:textFill>
                  <w14:solidFill>
                    <w14:schemeClr w14:val="tx1"/>
                  </w14:solidFill>
                </w14:textFill>
              </w:rPr>
            </w:pPr>
          </w:p>
          <w:p w14:paraId="6F03E221">
            <w:pPr>
              <w:spacing w:line="256" w:lineRule="auto"/>
              <w:jc w:val="center"/>
              <w:rPr>
                <w:color w:val="000000" w:themeColor="text1"/>
                <w:szCs w:val="28"/>
                <w:lang w:val="it-IT"/>
                <w14:textFill>
                  <w14:solidFill>
                    <w14:schemeClr w14:val="tx1"/>
                  </w14:solidFill>
                </w14:textFill>
              </w:rPr>
            </w:pPr>
            <w:r>
              <w:rPr>
                <w:b/>
                <w:color w:val="000000" w:themeColor="text1"/>
                <w:sz w:val="28"/>
                <w:szCs w:val="28"/>
                <w:lang w:val="it-IT"/>
                <w14:textFill>
                  <w14:solidFill>
                    <w14:schemeClr w14:val="tx1"/>
                  </w14:solidFill>
                </w14:textFill>
              </w:rPr>
              <w:t>Tôn Quang Ngọc</w:t>
            </w:r>
          </w:p>
        </w:tc>
      </w:tr>
    </w:tbl>
    <w:p w14:paraId="3DAB454F">
      <w:pPr>
        <w:rPr>
          <w:color w:val="000000" w:themeColor="text1"/>
          <w:lang w:val="it-IT"/>
          <w14:textFill>
            <w14:solidFill>
              <w14:schemeClr w14:val="tx1"/>
            </w14:solidFill>
          </w14:textFill>
        </w:rPr>
      </w:pPr>
    </w:p>
    <w:p w14:paraId="7AF8B9E6">
      <w:pPr>
        <w:rPr>
          <w:lang w:val="it-IT"/>
        </w:rPr>
      </w:pPr>
    </w:p>
    <w:sectPr>
      <w:headerReference r:id="rId5" w:type="default"/>
      <w:footerReference r:id="rId6" w:type="default"/>
      <w:footerReference r:id="rId7" w:type="even"/>
      <w:pgSz w:w="11907" w:h="16840"/>
      <w:pgMar w:top="1134" w:right="1298" w:bottom="1134" w:left="1701"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DengXian">
    <w:panose1 w:val="02010600030101010101"/>
    <w:charset w:val="86"/>
    <w:family w:val="auto"/>
    <w:pitch w:val="default"/>
    <w:sig w:usb0="A00002BF" w:usb1="38CF7CFA" w:usb2="00000016" w:usb3="00000000" w:csb0="0004000F" w:csb1="00000000"/>
  </w:font>
  <w:font w:name="Aptos">
    <w:altName w:val="Segoe UI"/>
    <w:panose1 w:val="00000000000000000000"/>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DengXian Light">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 w:name="TimesNewRomanPS-BoldMT">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7925D">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154FA">
    <w:pPr>
      <w:pStyle w:val="13"/>
      <w:framePr w:wrap="auto" w:vAnchor="text" w:hAnchor="margin" w:xAlign="right" w:y="1"/>
      <w:rPr>
        <w:rStyle w:val="16"/>
        <w:rFonts w:eastAsiaTheme="majorEastAsia"/>
      </w:rPr>
    </w:pPr>
    <w:r>
      <w:rPr>
        <w:rStyle w:val="16"/>
        <w:rFonts w:eastAsiaTheme="majorEastAsia"/>
      </w:rPr>
      <w:fldChar w:fldCharType="begin"/>
    </w:r>
    <w:r>
      <w:rPr>
        <w:rStyle w:val="16"/>
        <w:rFonts w:eastAsiaTheme="majorEastAsia"/>
      </w:rPr>
      <w:instrText xml:space="preserve">PAGE  </w:instrText>
    </w:r>
    <w:r>
      <w:rPr>
        <w:rStyle w:val="16"/>
        <w:rFonts w:eastAsiaTheme="majorEastAsia"/>
      </w:rPr>
      <w:fldChar w:fldCharType="end"/>
    </w:r>
  </w:p>
  <w:p w14:paraId="4075EEA9">
    <w:pPr>
      <w:pStyle w:val="1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5207398"/>
      <w:docPartObj>
        <w:docPartGallery w:val="AutoText"/>
      </w:docPartObj>
    </w:sdtPr>
    <w:sdtContent>
      <w:p w14:paraId="39F24442">
        <w:pPr>
          <w:pStyle w:val="14"/>
          <w:jc w:val="center"/>
        </w:pPr>
        <w:r>
          <w:fldChar w:fldCharType="begin"/>
        </w:r>
        <w:r>
          <w:instrText xml:space="preserve">PAGE   \* MERGEFORMAT</w:instrText>
        </w:r>
        <w:r>
          <w:fldChar w:fldCharType="separate"/>
        </w:r>
        <w:r>
          <w:rPr>
            <w:lang w:val="vi-VN"/>
          </w:rPr>
          <w:t>2</w:t>
        </w:r>
        <w:r>
          <w:fldChar w:fldCharType="end"/>
        </w:r>
      </w:p>
    </w:sdtContent>
  </w:sdt>
  <w:p w14:paraId="5D8DF224">
    <w:pPr>
      <w:pStyle w:val="1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8A8"/>
    <w:rsid w:val="00064A72"/>
    <w:rsid w:val="000728D1"/>
    <w:rsid w:val="00080334"/>
    <w:rsid w:val="00086931"/>
    <w:rsid w:val="0009320E"/>
    <w:rsid w:val="00095AD7"/>
    <w:rsid w:val="00096EB7"/>
    <w:rsid w:val="000B0D5D"/>
    <w:rsid w:val="000B5472"/>
    <w:rsid w:val="000C04D7"/>
    <w:rsid w:val="00116981"/>
    <w:rsid w:val="00121AA5"/>
    <w:rsid w:val="00136397"/>
    <w:rsid w:val="00155E73"/>
    <w:rsid w:val="001848DD"/>
    <w:rsid w:val="00190D11"/>
    <w:rsid w:val="00192574"/>
    <w:rsid w:val="00197C3B"/>
    <w:rsid w:val="001B750C"/>
    <w:rsid w:val="001C2C0C"/>
    <w:rsid w:val="001D3032"/>
    <w:rsid w:val="001E7F6A"/>
    <w:rsid w:val="00212816"/>
    <w:rsid w:val="00223CD8"/>
    <w:rsid w:val="0024789C"/>
    <w:rsid w:val="002532B1"/>
    <w:rsid w:val="00267F37"/>
    <w:rsid w:val="00270EAD"/>
    <w:rsid w:val="00276C88"/>
    <w:rsid w:val="00284C47"/>
    <w:rsid w:val="00295EFF"/>
    <w:rsid w:val="002C3B70"/>
    <w:rsid w:val="002D223F"/>
    <w:rsid w:val="002D4471"/>
    <w:rsid w:val="002E33BE"/>
    <w:rsid w:val="002E7AA0"/>
    <w:rsid w:val="002F1923"/>
    <w:rsid w:val="002F5C6E"/>
    <w:rsid w:val="00306399"/>
    <w:rsid w:val="00320EFF"/>
    <w:rsid w:val="00324A43"/>
    <w:rsid w:val="003627F7"/>
    <w:rsid w:val="003657D9"/>
    <w:rsid w:val="00370D5A"/>
    <w:rsid w:val="0037260A"/>
    <w:rsid w:val="00374E33"/>
    <w:rsid w:val="003A42CC"/>
    <w:rsid w:val="003A4FBE"/>
    <w:rsid w:val="003C44FA"/>
    <w:rsid w:val="0040522A"/>
    <w:rsid w:val="004208D9"/>
    <w:rsid w:val="00425112"/>
    <w:rsid w:val="00436BDE"/>
    <w:rsid w:val="004531AE"/>
    <w:rsid w:val="00455543"/>
    <w:rsid w:val="00476FFA"/>
    <w:rsid w:val="0049151C"/>
    <w:rsid w:val="004A6C83"/>
    <w:rsid w:val="004E1EC0"/>
    <w:rsid w:val="004F4463"/>
    <w:rsid w:val="00511B68"/>
    <w:rsid w:val="00524718"/>
    <w:rsid w:val="005336B8"/>
    <w:rsid w:val="005431EF"/>
    <w:rsid w:val="00546A96"/>
    <w:rsid w:val="0056327C"/>
    <w:rsid w:val="00595E63"/>
    <w:rsid w:val="005B640C"/>
    <w:rsid w:val="005D1B08"/>
    <w:rsid w:val="005E4A74"/>
    <w:rsid w:val="00606CAA"/>
    <w:rsid w:val="006240FB"/>
    <w:rsid w:val="0062654B"/>
    <w:rsid w:val="00631B11"/>
    <w:rsid w:val="0066177C"/>
    <w:rsid w:val="00662B9A"/>
    <w:rsid w:val="00697D24"/>
    <w:rsid w:val="006B6CCC"/>
    <w:rsid w:val="006F60AD"/>
    <w:rsid w:val="006F699E"/>
    <w:rsid w:val="007072C3"/>
    <w:rsid w:val="007238A8"/>
    <w:rsid w:val="00733C2D"/>
    <w:rsid w:val="00734B35"/>
    <w:rsid w:val="00736F6A"/>
    <w:rsid w:val="007406DB"/>
    <w:rsid w:val="00746BFA"/>
    <w:rsid w:val="0074702A"/>
    <w:rsid w:val="007551AD"/>
    <w:rsid w:val="00760865"/>
    <w:rsid w:val="00771BF3"/>
    <w:rsid w:val="00773A3F"/>
    <w:rsid w:val="007972F5"/>
    <w:rsid w:val="007A5423"/>
    <w:rsid w:val="007A69BA"/>
    <w:rsid w:val="007E0BEA"/>
    <w:rsid w:val="007E0DA7"/>
    <w:rsid w:val="007F57BC"/>
    <w:rsid w:val="0080175B"/>
    <w:rsid w:val="0080189B"/>
    <w:rsid w:val="00817AB0"/>
    <w:rsid w:val="00826A54"/>
    <w:rsid w:val="0083050F"/>
    <w:rsid w:val="00832E94"/>
    <w:rsid w:val="00841B40"/>
    <w:rsid w:val="008516F5"/>
    <w:rsid w:val="00857EAF"/>
    <w:rsid w:val="00864E53"/>
    <w:rsid w:val="00867EDD"/>
    <w:rsid w:val="008808F5"/>
    <w:rsid w:val="00885A60"/>
    <w:rsid w:val="00885DC7"/>
    <w:rsid w:val="00886A7A"/>
    <w:rsid w:val="0089648A"/>
    <w:rsid w:val="008B0A90"/>
    <w:rsid w:val="008C5308"/>
    <w:rsid w:val="008E41D2"/>
    <w:rsid w:val="008F1DBC"/>
    <w:rsid w:val="0091317F"/>
    <w:rsid w:val="009217CF"/>
    <w:rsid w:val="009369B2"/>
    <w:rsid w:val="00953E25"/>
    <w:rsid w:val="00960DD0"/>
    <w:rsid w:val="00992997"/>
    <w:rsid w:val="009A0E51"/>
    <w:rsid w:val="009D64B8"/>
    <w:rsid w:val="009E35C4"/>
    <w:rsid w:val="009E6094"/>
    <w:rsid w:val="00A073C4"/>
    <w:rsid w:val="00A25328"/>
    <w:rsid w:val="00A44A40"/>
    <w:rsid w:val="00A47EA1"/>
    <w:rsid w:val="00A61268"/>
    <w:rsid w:val="00A76D29"/>
    <w:rsid w:val="00A92D3E"/>
    <w:rsid w:val="00AC38AA"/>
    <w:rsid w:val="00AD0F36"/>
    <w:rsid w:val="00AE1AF0"/>
    <w:rsid w:val="00AE339C"/>
    <w:rsid w:val="00B11A5E"/>
    <w:rsid w:val="00B12000"/>
    <w:rsid w:val="00B12571"/>
    <w:rsid w:val="00B204AA"/>
    <w:rsid w:val="00B20F13"/>
    <w:rsid w:val="00B53BCF"/>
    <w:rsid w:val="00B6233D"/>
    <w:rsid w:val="00B73A36"/>
    <w:rsid w:val="00B82536"/>
    <w:rsid w:val="00B875F0"/>
    <w:rsid w:val="00B95644"/>
    <w:rsid w:val="00BA0892"/>
    <w:rsid w:val="00BA0BBC"/>
    <w:rsid w:val="00BA115E"/>
    <w:rsid w:val="00BC3AC5"/>
    <w:rsid w:val="00BD5CE3"/>
    <w:rsid w:val="00BD658D"/>
    <w:rsid w:val="00BE3427"/>
    <w:rsid w:val="00BE7773"/>
    <w:rsid w:val="00C20707"/>
    <w:rsid w:val="00C23724"/>
    <w:rsid w:val="00C316B6"/>
    <w:rsid w:val="00C317BB"/>
    <w:rsid w:val="00C80CD7"/>
    <w:rsid w:val="00CA0C56"/>
    <w:rsid w:val="00CC42EA"/>
    <w:rsid w:val="00CD200E"/>
    <w:rsid w:val="00CE58B6"/>
    <w:rsid w:val="00D01697"/>
    <w:rsid w:val="00D02223"/>
    <w:rsid w:val="00D17E92"/>
    <w:rsid w:val="00D205AA"/>
    <w:rsid w:val="00D44393"/>
    <w:rsid w:val="00D46541"/>
    <w:rsid w:val="00D802A1"/>
    <w:rsid w:val="00DA0CFE"/>
    <w:rsid w:val="00DB7D60"/>
    <w:rsid w:val="00DC4329"/>
    <w:rsid w:val="00DE0762"/>
    <w:rsid w:val="00DE0CAE"/>
    <w:rsid w:val="00DF4207"/>
    <w:rsid w:val="00E17316"/>
    <w:rsid w:val="00E177FA"/>
    <w:rsid w:val="00E441CC"/>
    <w:rsid w:val="00E532ED"/>
    <w:rsid w:val="00E60056"/>
    <w:rsid w:val="00E726CD"/>
    <w:rsid w:val="00E9525B"/>
    <w:rsid w:val="00EA761E"/>
    <w:rsid w:val="00EB2ABF"/>
    <w:rsid w:val="00EC404F"/>
    <w:rsid w:val="00ED3030"/>
    <w:rsid w:val="00ED49C6"/>
    <w:rsid w:val="00EE3A2F"/>
    <w:rsid w:val="00EF1A05"/>
    <w:rsid w:val="00EF42FC"/>
    <w:rsid w:val="00EF7FA7"/>
    <w:rsid w:val="00F02191"/>
    <w:rsid w:val="00F02D14"/>
    <w:rsid w:val="00F40D69"/>
    <w:rsid w:val="00F70767"/>
    <w:rsid w:val="00F8081C"/>
    <w:rsid w:val="00FA08B6"/>
    <w:rsid w:val="00FA60D7"/>
    <w:rsid w:val="00FB25A9"/>
    <w:rsid w:val="00FB35CD"/>
    <w:rsid w:val="00FB7455"/>
    <w:rsid w:val="00FB7C9B"/>
    <w:rsid w:val="00FF3006"/>
    <w:rsid w:val="0E8A2F6A"/>
    <w:rsid w:val="5677786A"/>
    <w:rsid w:val="5CD33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styleId="2">
    <w:name w:val="heading 1"/>
    <w:basedOn w:val="1"/>
    <w:next w:val="1"/>
    <w:link w:val="19"/>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1"/>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2"/>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3"/>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4"/>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5"/>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footer"/>
    <w:basedOn w:val="1"/>
    <w:link w:val="37"/>
    <w:uiPriority w:val="99"/>
    <w:pPr>
      <w:tabs>
        <w:tab w:val="center" w:pos="4320"/>
        <w:tab w:val="right" w:pos="8640"/>
      </w:tabs>
    </w:pPr>
  </w:style>
  <w:style w:type="paragraph" w:styleId="14">
    <w:name w:val="header"/>
    <w:basedOn w:val="1"/>
    <w:link w:val="38"/>
    <w:unhideWhenUsed/>
    <w:uiPriority w:val="99"/>
    <w:pPr>
      <w:tabs>
        <w:tab w:val="center" w:pos="4680"/>
        <w:tab w:val="right" w:pos="9360"/>
      </w:tabs>
    </w:pPr>
  </w:style>
  <w:style w:type="paragraph" w:styleId="15">
    <w:name w:val="Normal (Web)"/>
    <w:basedOn w:val="1"/>
    <w:unhideWhenUsed/>
    <w:uiPriority w:val="0"/>
    <w:pPr>
      <w:spacing w:before="100" w:beforeAutospacing="1" w:after="100" w:afterAutospacing="1"/>
    </w:pPr>
  </w:style>
  <w:style w:type="character" w:styleId="16">
    <w:name w:val="page number"/>
    <w:basedOn w:val="11"/>
    <w:uiPriority w:val="99"/>
    <w:rPr>
      <w:rFonts w:cs="Times New Roman"/>
    </w:rPr>
  </w:style>
  <w:style w:type="paragraph" w:styleId="17">
    <w:name w:val="Subtitle"/>
    <w:basedOn w:val="1"/>
    <w:next w:val="1"/>
    <w:link w:val="2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itle"/>
    <w:basedOn w:val="1"/>
    <w:next w:val="1"/>
    <w:link w:val="28"/>
    <w:qFormat/>
    <w:uiPriority w:val="10"/>
    <w:pPr>
      <w:spacing w:after="80"/>
      <w:contextualSpacing/>
    </w:pPr>
    <w:rPr>
      <w:rFonts w:asciiTheme="majorHAnsi" w:hAnsiTheme="majorHAnsi" w:eastAsiaTheme="majorEastAsia" w:cstheme="majorBidi"/>
      <w:spacing w:val="-10"/>
      <w:kern w:val="28"/>
      <w:sz w:val="56"/>
      <w:szCs w:val="56"/>
    </w:rPr>
  </w:style>
  <w:style w:type="character" w:customStyle="1" w:styleId="19">
    <w:name w:val="Đầu đề 1 Char"/>
    <w:basedOn w:val="11"/>
    <w:link w:val="2"/>
    <w:uiPriority w:val="9"/>
    <w:rPr>
      <w:rFonts w:asciiTheme="majorHAnsi" w:hAnsiTheme="majorHAnsi" w:eastAsiaTheme="majorEastAsia" w:cstheme="majorBidi"/>
      <w:color w:val="104862" w:themeColor="accent1" w:themeShade="BF"/>
      <w:sz w:val="40"/>
      <w:szCs w:val="40"/>
    </w:rPr>
  </w:style>
  <w:style w:type="character" w:customStyle="1" w:styleId="20">
    <w:name w:val="Đầu đề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1">
    <w:name w:val="Đầu đề 3 Char"/>
    <w:basedOn w:val="11"/>
    <w:link w:val="4"/>
    <w:semiHidden/>
    <w:uiPriority w:val="9"/>
    <w:rPr>
      <w:rFonts w:eastAsiaTheme="majorEastAsia" w:cstheme="majorBidi"/>
      <w:color w:val="104862" w:themeColor="accent1" w:themeShade="BF"/>
      <w:sz w:val="28"/>
      <w:szCs w:val="28"/>
    </w:rPr>
  </w:style>
  <w:style w:type="character" w:customStyle="1" w:styleId="22">
    <w:name w:val="Đầu đề 4 Char"/>
    <w:basedOn w:val="11"/>
    <w:link w:val="5"/>
    <w:semiHidden/>
    <w:uiPriority w:val="9"/>
    <w:rPr>
      <w:rFonts w:eastAsiaTheme="majorEastAsia" w:cstheme="majorBidi"/>
      <w:i/>
      <w:iCs/>
      <w:color w:val="104862" w:themeColor="accent1" w:themeShade="BF"/>
    </w:rPr>
  </w:style>
  <w:style w:type="character" w:customStyle="1" w:styleId="23">
    <w:name w:val="Đầu đề 5 Char"/>
    <w:basedOn w:val="11"/>
    <w:link w:val="6"/>
    <w:semiHidden/>
    <w:uiPriority w:val="9"/>
    <w:rPr>
      <w:rFonts w:eastAsiaTheme="majorEastAsia" w:cstheme="majorBidi"/>
      <w:color w:val="104862" w:themeColor="accent1" w:themeShade="BF"/>
    </w:rPr>
  </w:style>
  <w:style w:type="character" w:customStyle="1" w:styleId="24">
    <w:name w:val="Đầu đề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Đầu đề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Đầu đề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Đầu đề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êu đề Char"/>
    <w:basedOn w:val="11"/>
    <w:link w:val="18"/>
    <w:uiPriority w:val="10"/>
    <w:rPr>
      <w:rFonts w:asciiTheme="majorHAnsi" w:hAnsiTheme="majorHAnsi" w:eastAsiaTheme="majorEastAsia" w:cstheme="majorBidi"/>
      <w:spacing w:val="-10"/>
      <w:kern w:val="28"/>
      <w:sz w:val="56"/>
      <w:szCs w:val="56"/>
    </w:rPr>
  </w:style>
  <w:style w:type="character" w:customStyle="1" w:styleId="29">
    <w:name w:val="Tiêu đề phụ Char"/>
    <w:basedOn w:val="11"/>
    <w:link w:val="17"/>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Lời trích dẫn Char"/>
    <w:basedOn w:val="11"/>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1"/>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Nháy kép Đậm Char"/>
    <w:basedOn w:val="11"/>
    <w:link w:val="34"/>
    <w:uiPriority w:val="30"/>
    <w:rPr>
      <w:i/>
      <w:iCs/>
      <w:color w:val="104862" w:themeColor="accent1" w:themeShade="BF"/>
    </w:rPr>
  </w:style>
  <w:style w:type="character" w:customStyle="1" w:styleId="36">
    <w:name w:val="Intense Reference"/>
    <w:basedOn w:val="11"/>
    <w:qFormat/>
    <w:uiPriority w:val="32"/>
    <w:rPr>
      <w:b/>
      <w:bCs/>
      <w:smallCaps/>
      <w:color w:val="104862" w:themeColor="accent1" w:themeShade="BF"/>
      <w:spacing w:val="5"/>
    </w:rPr>
  </w:style>
  <w:style w:type="character" w:customStyle="1" w:styleId="37">
    <w:name w:val="Chân trang Char"/>
    <w:basedOn w:val="11"/>
    <w:link w:val="13"/>
    <w:uiPriority w:val="99"/>
    <w:rPr>
      <w:rFonts w:ascii="Times New Roman" w:hAnsi="Times New Roman" w:eastAsia="Times New Roman" w:cs="Times New Roman"/>
      <w:kern w:val="0"/>
      <w14:ligatures w14:val="none"/>
    </w:rPr>
  </w:style>
  <w:style w:type="character" w:customStyle="1" w:styleId="38">
    <w:name w:val="Đầu trang Char"/>
    <w:basedOn w:val="11"/>
    <w:link w:val="14"/>
    <w:uiPriority w:val="99"/>
    <w:rPr>
      <w:rFonts w:ascii="Times New Roman" w:hAnsi="Times New Roman" w:eastAsia="Times New Roman" w:cs="Times New Roman"/>
      <w:kern w:val="0"/>
      <w14:ligatures w14:val="none"/>
    </w:rPr>
  </w:style>
  <w:style w:type="character" w:customStyle="1" w:styleId="39">
    <w:name w:val="fontstyle01"/>
    <w:uiPriority w:val="0"/>
    <w:rPr>
      <w:rFonts w:ascii="TimesNewRomanPS-BoldMT" w:hAnsi="TimesNewRomanPS-BoldMT" w:eastAsia="TimesNewRomanPS-BoldMT" w:cs="TimesNewRomanPS-BoldMT"/>
      <w:b/>
      <w:bCs/>
      <w:color w:val="00000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4639F3-DFD4-4C93-B09B-B414FA14AC15}">
  <ds:schemaRefs/>
</ds:datastoreItem>
</file>

<file path=docProps/app.xml><?xml version="1.0" encoding="utf-8"?>
<Properties xmlns="http://schemas.openxmlformats.org/officeDocument/2006/extended-properties" xmlns:vt="http://schemas.openxmlformats.org/officeDocument/2006/docPropsVTypes">
  <Template>Normal</Template>
  <Pages>4</Pages>
  <Words>1400</Words>
  <Characters>5037</Characters>
  <Lines>46</Lines>
  <Paragraphs>13</Paragraphs>
  <TotalTime>823</TotalTime>
  <ScaleCrop>false</ScaleCrop>
  <LinksUpToDate>false</LinksUpToDate>
  <CharactersWithSpaces>6459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2025-10-30T00:56:00Z</dcterms:created>
  <dc:creator>DELL</dc:creator>
  <cp:lastModifiedBy>Hải Lê</cp:lastModifiedBy>
  <cp:lastPrinted>2026-08-21T07:09:00Z</cp:lastPrinted>
  <dcterms:modified xsi:type="dcterms:W3CDTF">2026-09-28T07:25:15Z</dcterms:modified>
  <cp:revision>176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eyJoZGlkIjoiMzFiNDZmYjk1MDY3NTgwYzY3ZDFiZGIxYjg0OWY2YTAiLCJ1c2VySWQiOiIxMzc0MzkzMTM3MDQyIn0=</vt:lpwstr>
  </property>
  <property fmtid="{D5CDD505-2E9C-101B-9397-08002B2CF9AE}" pid="3" name="KSOProductBuildVer">
    <vt:lpwstr>1033-12.1.0.28485</vt:lpwstr>
  </property>
  <property fmtid="{D5CDD505-2E9C-101B-9397-08002B2CF9AE}" pid="4" name="ICV">
    <vt:lpwstr>595708CB73534993B54BA7B5BD08516D_12</vt:lpwstr>
  </property>
</Properties>
</file>